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D866" w14:textId="77777777" w:rsidR="004F5412" w:rsidRPr="00193CA8" w:rsidRDefault="004F5412" w:rsidP="004A38B0">
      <w:pPr>
        <w:jc w:val="center"/>
        <w:rPr>
          <w:rFonts w:ascii="Calibri" w:hAnsi="Calibri"/>
          <w:b/>
          <w:sz w:val="28"/>
        </w:rPr>
      </w:pPr>
      <w:r w:rsidRPr="00193CA8">
        <w:rPr>
          <w:rFonts w:ascii="Calibri" w:hAnsi="Calibri"/>
          <w:b/>
          <w:sz w:val="28"/>
        </w:rPr>
        <w:t>AP U.</w:t>
      </w:r>
      <w:r w:rsidR="00347E21">
        <w:rPr>
          <w:rFonts w:ascii="Calibri" w:hAnsi="Calibri"/>
          <w:b/>
          <w:sz w:val="28"/>
        </w:rPr>
        <w:t>S. HISTORY – DR. NEAL—SEMINAR #2</w:t>
      </w:r>
    </w:p>
    <w:p w14:paraId="610E8264" w14:textId="77777777" w:rsidR="004A38B0" w:rsidRPr="00193CA8" w:rsidRDefault="004A38B0" w:rsidP="004A38B0">
      <w:pPr>
        <w:jc w:val="center"/>
        <w:rPr>
          <w:rFonts w:ascii="Calibri" w:hAnsi="Calibri"/>
          <w:b/>
          <w:sz w:val="28"/>
        </w:rPr>
      </w:pPr>
      <w:r w:rsidRPr="00193CA8">
        <w:rPr>
          <w:rFonts w:ascii="Calibri" w:hAnsi="Calibri"/>
          <w:b/>
          <w:sz w:val="28"/>
        </w:rPr>
        <w:t>From Authority to Individualism</w:t>
      </w:r>
    </w:p>
    <w:p w14:paraId="04AD1F28" w14:textId="77777777" w:rsidR="004A38B0" w:rsidRPr="008B7FF2" w:rsidRDefault="008168B4" w:rsidP="004A38B0">
      <w:pPr>
        <w:jc w:val="center"/>
        <w:rPr>
          <w:rFonts w:ascii="Calibri" w:hAnsi="Calibri"/>
          <w:b/>
          <w:sz w:val="28"/>
        </w:rPr>
      </w:pPr>
      <w:r>
        <w:rPr>
          <w:rFonts w:ascii="Calibri" w:hAnsi="Calibri"/>
          <w:b/>
          <w:sz w:val="28"/>
        </w:rPr>
        <w:t xml:space="preserve">DUE: </w:t>
      </w:r>
      <w:r w:rsidR="00322837">
        <w:rPr>
          <w:rFonts w:ascii="Calibri" w:hAnsi="Calibri"/>
          <w:b/>
          <w:sz w:val="28"/>
        </w:rPr>
        <w:t xml:space="preserve"> </w:t>
      </w:r>
      <w:r w:rsidR="005A2C45">
        <w:rPr>
          <w:rFonts w:ascii="Calibri" w:hAnsi="Calibri"/>
          <w:b/>
          <w:sz w:val="28"/>
        </w:rPr>
        <w:t>Tuesday</w:t>
      </w:r>
      <w:r w:rsidR="00F07BA1">
        <w:rPr>
          <w:rFonts w:ascii="Calibri" w:hAnsi="Calibri"/>
          <w:b/>
          <w:sz w:val="28"/>
        </w:rPr>
        <w:t>/Wednesday, September 20/21</w:t>
      </w:r>
      <w:bookmarkStart w:id="0" w:name="_GoBack"/>
      <w:bookmarkEnd w:id="0"/>
      <w:r>
        <w:rPr>
          <w:rFonts w:ascii="Calibri" w:hAnsi="Calibri"/>
          <w:b/>
          <w:sz w:val="28"/>
        </w:rPr>
        <w:t xml:space="preserve"> </w:t>
      </w:r>
    </w:p>
    <w:p w14:paraId="0090F96F" w14:textId="77777777" w:rsidR="004A38B0" w:rsidRPr="008B7FF2" w:rsidRDefault="004A38B0" w:rsidP="004A38B0">
      <w:pPr>
        <w:rPr>
          <w:i/>
          <w:sz w:val="22"/>
          <w:szCs w:val="22"/>
        </w:rPr>
      </w:pPr>
      <w:r w:rsidRPr="00CB3558">
        <w:rPr>
          <w:i/>
          <w:sz w:val="22"/>
          <w:szCs w:val="22"/>
        </w:rPr>
        <w:t>Seminar</w:t>
      </w:r>
      <w:r>
        <w:rPr>
          <w:i/>
          <w:sz w:val="22"/>
          <w:szCs w:val="22"/>
        </w:rPr>
        <w:t>s</w:t>
      </w:r>
      <w:r w:rsidRPr="00CB3558">
        <w:rPr>
          <w:i/>
          <w:sz w:val="22"/>
          <w:szCs w:val="22"/>
        </w:rPr>
        <w:t xml:space="preserve"> provide us an opportunity to discuss historical information, form and share opinions, analyze different perspectives, and hopefully come up with new insights into challenging questions and controversial issues.  The discussion is to be entirely student-centered with the instru</w:t>
      </w:r>
      <w:r>
        <w:rPr>
          <w:i/>
          <w:sz w:val="22"/>
          <w:szCs w:val="22"/>
        </w:rPr>
        <w:t>ctor acting only as an observe</w:t>
      </w:r>
      <w:r w:rsidRPr="00CB3558">
        <w:rPr>
          <w:i/>
          <w:sz w:val="22"/>
          <w:szCs w:val="22"/>
        </w:rPr>
        <w:t>r.  Students are encouraged to express opinions, respectfully challenge others, and ask quest</w:t>
      </w:r>
      <w:r>
        <w:rPr>
          <w:i/>
          <w:sz w:val="22"/>
          <w:szCs w:val="22"/>
        </w:rPr>
        <w:t>ions to help</w:t>
      </w:r>
      <w:r w:rsidRPr="00CB3558">
        <w:rPr>
          <w:i/>
          <w:sz w:val="22"/>
          <w:szCs w:val="22"/>
        </w:rPr>
        <w:t xml:space="preserve"> us understand the past</w:t>
      </w:r>
      <w:r>
        <w:rPr>
          <w:i/>
          <w:sz w:val="22"/>
          <w:szCs w:val="22"/>
        </w:rPr>
        <w:t>,</w:t>
      </w:r>
      <w:r w:rsidRPr="00CB3558">
        <w:rPr>
          <w:i/>
          <w:sz w:val="22"/>
          <w:szCs w:val="22"/>
        </w:rPr>
        <w:t xml:space="preserve"> present issues</w:t>
      </w:r>
      <w:r>
        <w:rPr>
          <w:i/>
          <w:sz w:val="22"/>
          <w:szCs w:val="22"/>
        </w:rPr>
        <w:t>,</w:t>
      </w:r>
      <w:r w:rsidRPr="00CB3558">
        <w:rPr>
          <w:i/>
          <w:sz w:val="22"/>
          <w:szCs w:val="22"/>
        </w:rPr>
        <w:t xml:space="preserve"> and cultural differences.</w:t>
      </w:r>
    </w:p>
    <w:p w14:paraId="54BDB7C4" w14:textId="77777777" w:rsidR="00347E21" w:rsidRDefault="004A38B0" w:rsidP="004A38B0">
      <w:pPr>
        <w:rPr>
          <w:b/>
        </w:rPr>
      </w:pPr>
      <w:r w:rsidRPr="008B7FF2">
        <w:rPr>
          <w:b/>
        </w:rPr>
        <w:t xml:space="preserve">FOCUS QUESTION: </w:t>
      </w:r>
    </w:p>
    <w:p w14:paraId="0D3FCCFF" w14:textId="77777777" w:rsidR="00347E21" w:rsidRDefault="00347E21" w:rsidP="00347E21">
      <w:pPr>
        <w:numPr>
          <w:ilvl w:val="0"/>
          <w:numId w:val="4"/>
        </w:numPr>
        <w:rPr>
          <w:b/>
        </w:rPr>
      </w:pPr>
      <w:r w:rsidRPr="008B7FF2">
        <w:rPr>
          <w:b/>
        </w:rPr>
        <w:t xml:space="preserve">From Authority to Individualism:  Puritanism, Enlightenment &amp; the Great Awakening. </w:t>
      </w:r>
      <w:r w:rsidR="005A2C45">
        <w:rPr>
          <w:b/>
        </w:rPr>
        <w:t>Compare and contrast each of these</w:t>
      </w:r>
      <w:r w:rsidR="004A38B0" w:rsidRPr="008B7FF2">
        <w:rPr>
          <w:b/>
        </w:rPr>
        <w:t xml:space="preserve"> </w:t>
      </w:r>
      <w:r w:rsidR="005A2C45">
        <w:rPr>
          <w:b/>
        </w:rPr>
        <w:t xml:space="preserve">three </w:t>
      </w:r>
      <w:r w:rsidR="004A38B0" w:rsidRPr="008B7FF2">
        <w:rPr>
          <w:b/>
        </w:rPr>
        <w:t xml:space="preserve">movements </w:t>
      </w:r>
      <w:r w:rsidR="005A2C45">
        <w:rPr>
          <w:b/>
        </w:rPr>
        <w:t xml:space="preserve">to analyze how </w:t>
      </w:r>
      <w:r w:rsidR="004A38B0" w:rsidRPr="008B7FF2">
        <w:rPr>
          <w:b/>
        </w:rPr>
        <w:t xml:space="preserve">colonists </w:t>
      </w:r>
      <w:r w:rsidR="005A2C45">
        <w:rPr>
          <w:b/>
        </w:rPr>
        <w:t xml:space="preserve">shifted </w:t>
      </w:r>
      <w:r w:rsidR="004A38B0" w:rsidRPr="008B7FF2">
        <w:rPr>
          <w:b/>
        </w:rPr>
        <w:t>from royal subjects</w:t>
      </w:r>
      <w:r w:rsidR="005A2C45">
        <w:rPr>
          <w:b/>
        </w:rPr>
        <w:t xml:space="preserve"> </w:t>
      </w:r>
      <w:r w:rsidR="004A38B0" w:rsidRPr="008B7FF2">
        <w:rPr>
          <w:b/>
        </w:rPr>
        <w:t xml:space="preserve">to </w:t>
      </w:r>
      <w:r w:rsidR="005A2C45">
        <w:rPr>
          <w:b/>
        </w:rPr>
        <w:t xml:space="preserve">become </w:t>
      </w:r>
      <w:r w:rsidR="004A38B0" w:rsidRPr="008B7FF2">
        <w:rPr>
          <w:b/>
        </w:rPr>
        <w:t xml:space="preserve">individuals who believed they were “created equal”?  </w:t>
      </w:r>
    </w:p>
    <w:p w14:paraId="63A81C11" w14:textId="77777777" w:rsidR="00347E21" w:rsidRDefault="004A38B0" w:rsidP="00347E21">
      <w:pPr>
        <w:numPr>
          <w:ilvl w:val="0"/>
          <w:numId w:val="4"/>
        </w:numPr>
        <w:rPr>
          <w:b/>
        </w:rPr>
      </w:pPr>
      <w:r w:rsidRPr="008B7FF2">
        <w:rPr>
          <w:b/>
        </w:rPr>
        <w:t>How did the change occur differently between colonial regions</w:t>
      </w:r>
      <w:r w:rsidR="00347E21">
        <w:rPr>
          <w:b/>
        </w:rPr>
        <w:t xml:space="preserve"> (New England, Middle Colonies, Chesapeake area, and the Carolinas and Georgia)</w:t>
      </w:r>
      <w:r w:rsidRPr="008B7FF2">
        <w:rPr>
          <w:b/>
        </w:rPr>
        <w:t xml:space="preserve">?  </w:t>
      </w:r>
    </w:p>
    <w:p w14:paraId="43499251" w14:textId="77777777" w:rsidR="00161849" w:rsidRPr="00C7677B" w:rsidRDefault="004A38B0" w:rsidP="00347E21">
      <w:pPr>
        <w:numPr>
          <w:ilvl w:val="0"/>
          <w:numId w:val="4"/>
        </w:numPr>
        <w:rPr>
          <w:b/>
        </w:rPr>
      </w:pPr>
      <w:r w:rsidRPr="008B7FF2">
        <w:rPr>
          <w:b/>
        </w:rPr>
        <w:t>What types of people remained “unequal</w:t>
      </w:r>
      <w:r w:rsidR="00347E21">
        <w:rPr>
          <w:b/>
        </w:rPr>
        <w:t>,</w:t>
      </w:r>
      <w:r w:rsidRPr="008B7FF2">
        <w:rPr>
          <w:b/>
        </w:rPr>
        <w:t xml:space="preserve">” </w:t>
      </w:r>
      <w:r w:rsidR="00347E21">
        <w:rPr>
          <w:b/>
        </w:rPr>
        <w:t xml:space="preserve">where, </w:t>
      </w:r>
      <w:r w:rsidRPr="008B7FF2">
        <w:rPr>
          <w:b/>
        </w:rPr>
        <w:t>and why?</w:t>
      </w:r>
    </w:p>
    <w:p w14:paraId="787EF49B" w14:textId="77777777" w:rsidR="004A38B0" w:rsidRPr="0073605D" w:rsidRDefault="004A38B0" w:rsidP="004A38B0">
      <w:pPr>
        <w:rPr>
          <w:b/>
          <w:sz w:val="22"/>
          <w:szCs w:val="22"/>
        </w:rPr>
      </w:pPr>
      <w:r w:rsidRPr="0073605D">
        <w:rPr>
          <w:i/>
          <w:sz w:val="22"/>
          <w:szCs w:val="22"/>
        </w:rPr>
        <w:t>Your grade for the seminar is dependent on two parts: 1) preparing a written component and 2) attending and participating in a formal cl</w:t>
      </w:r>
      <w:r w:rsidR="005A2C45">
        <w:rPr>
          <w:i/>
          <w:sz w:val="22"/>
          <w:szCs w:val="22"/>
        </w:rPr>
        <w:t xml:space="preserve">ass discussion.  Each is worth </w:t>
      </w:r>
      <w:r w:rsidRPr="0073605D">
        <w:rPr>
          <w:i/>
          <w:sz w:val="22"/>
          <w:szCs w:val="22"/>
        </w:rPr>
        <w:t>5</w:t>
      </w:r>
      <w:r w:rsidR="005A2C45">
        <w:rPr>
          <w:i/>
          <w:sz w:val="22"/>
          <w:szCs w:val="22"/>
        </w:rPr>
        <w:t>0 points for a total of 10</w:t>
      </w:r>
      <w:r w:rsidRPr="0073605D">
        <w:rPr>
          <w:i/>
          <w:sz w:val="22"/>
          <w:szCs w:val="22"/>
        </w:rPr>
        <w:t>0 points for the seminar.  You must do both parts in order to earn a passing grade.</w:t>
      </w:r>
      <w:r w:rsidR="00C7677B" w:rsidRPr="0073605D">
        <w:rPr>
          <w:i/>
          <w:sz w:val="22"/>
          <w:szCs w:val="22"/>
        </w:rPr>
        <w:t xml:space="preserve">  </w:t>
      </w:r>
      <w:r w:rsidR="00C7677B" w:rsidRPr="0073605D">
        <w:rPr>
          <w:b/>
          <w:sz w:val="22"/>
          <w:szCs w:val="22"/>
        </w:rPr>
        <w:t>Dress up in business casual for the seminar and presentations to establish a more formal atmosphere for the activity.</w:t>
      </w:r>
    </w:p>
    <w:p w14:paraId="397ACD94" w14:textId="77777777" w:rsidR="004A38B0" w:rsidRPr="00B65992" w:rsidRDefault="005A2C45" w:rsidP="004A38B0">
      <w:pPr>
        <w:rPr>
          <w:sz w:val="22"/>
        </w:rPr>
      </w:pPr>
      <w:r>
        <w:rPr>
          <w:b/>
          <w:sz w:val="22"/>
        </w:rPr>
        <w:t>Written Component (</w:t>
      </w:r>
      <w:r w:rsidR="004A38B0" w:rsidRPr="00B65992">
        <w:rPr>
          <w:b/>
          <w:sz w:val="22"/>
        </w:rPr>
        <w:t>5</w:t>
      </w:r>
      <w:r>
        <w:rPr>
          <w:b/>
          <w:sz w:val="22"/>
        </w:rPr>
        <w:t>0</w:t>
      </w:r>
      <w:r w:rsidR="004A38B0" w:rsidRPr="00B65992">
        <w:rPr>
          <w:b/>
          <w:sz w:val="22"/>
        </w:rPr>
        <w:t xml:space="preserve"> points):</w:t>
      </w:r>
      <w:r w:rsidR="004A38B0" w:rsidRPr="00B65992">
        <w:rPr>
          <w:sz w:val="22"/>
        </w:rPr>
        <w:t xml:space="preserve">  The written part of your seminar is intended to help you formally prepare for the seminar and demonstrate clear evidence of the depth and breadth of your research and preparation. The written component is to be </w:t>
      </w:r>
      <w:r w:rsidR="004A38B0" w:rsidRPr="00B65992">
        <w:rPr>
          <w:b/>
          <w:sz w:val="22"/>
        </w:rPr>
        <w:t>turned in immediately after</w:t>
      </w:r>
      <w:r w:rsidR="004A38B0" w:rsidRPr="00B65992">
        <w:rPr>
          <w:sz w:val="22"/>
        </w:rPr>
        <w:t xml:space="preserve"> the seminar. It is composed of three parts and should be stapled or clipped together in the following order:</w:t>
      </w:r>
    </w:p>
    <w:p w14:paraId="372D7691" w14:textId="77777777" w:rsidR="004A38B0" w:rsidRPr="00B65992" w:rsidRDefault="00F01289" w:rsidP="004A38B0">
      <w:pPr>
        <w:numPr>
          <w:ilvl w:val="0"/>
          <w:numId w:val="1"/>
        </w:numPr>
        <w:tabs>
          <w:tab w:val="clear" w:pos="720"/>
          <w:tab w:val="num" w:pos="360"/>
        </w:tabs>
        <w:spacing w:after="0"/>
        <w:ind w:left="360"/>
        <w:rPr>
          <w:sz w:val="22"/>
        </w:rPr>
      </w:pPr>
      <w:r>
        <w:rPr>
          <w:b/>
          <w:sz w:val="22"/>
        </w:rPr>
        <w:t>Introduction</w:t>
      </w:r>
      <w:r w:rsidR="004A38B0" w:rsidRPr="00B65992">
        <w:rPr>
          <w:b/>
          <w:sz w:val="22"/>
        </w:rPr>
        <w:t xml:space="preserve"> </w:t>
      </w:r>
      <w:r w:rsidR="005A2C45">
        <w:rPr>
          <w:sz w:val="22"/>
        </w:rPr>
        <w:t>(1</w:t>
      </w:r>
      <w:r w:rsidR="004A38B0" w:rsidRPr="00B65992">
        <w:rPr>
          <w:sz w:val="22"/>
        </w:rPr>
        <w:t xml:space="preserve">0 points):  Your </w:t>
      </w:r>
      <w:r>
        <w:rPr>
          <w:sz w:val="22"/>
        </w:rPr>
        <w:t>introduction</w:t>
      </w:r>
      <w:r w:rsidR="004A38B0" w:rsidRPr="00B65992">
        <w:rPr>
          <w:sz w:val="22"/>
        </w:rPr>
        <w:t xml:space="preserve"> should include a</w:t>
      </w:r>
      <w:r w:rsidR="004A38B0">
        <w:rPr>
          <w:sz w:val="22"/>
        </w:rPr>
        <w:t>n arguable</w:t>
      </w:r>
      <w:r w:rsidR="004A38B0" w:rsidRPr="00B65992">
        <w:rPr>
          <w:sz w:val="22"/>
        </w:rPr>
        <w:t xml:space="preserve"> thesis statement, which </w:t>
      </w:r>
      <w:r w:rsidR="004A38B0" w:rsidRPr="00B65992">
        <w:rPr>
          <w:b/>
          <w:sz w:val="22"/>
        </w:rPr>
        <w:t>expresses your opinion of how you intend to answer the focus questions</w:t>
      </w:r>
      <w:r w:rsidR="004A38B0" w:rsidRPr="00B65992">
        <w:rPr>
          <w:sz w:val="22"/>
        </w:rPr>
        <w:t xml:space="preserve">.  You should also briefly explain how you arrived at this opinion and support it with a few of your best examples.  This should be </w:t>
      </w:r>
      <w:r>
        <w:rPr>
          <w:sz w:val="22"/>
        </w:rPr>
        <w:t xml:space="preserve">one to two paragraphs and </w:t>
      </w:r>
      <w:r w:rsidR="004A38B0" w:rsidRPr="00B65992">
        <w:rPr>
          <w:sz w:val="22"/>
        </w:rPr>
        <w:t xml:space="preserve">no more than one page (typed, double-spaced).  Note:  I will not read or count any lines </w:t>
      </w:r>
      <w:r>
        <w:rPr>
          <w:sz w:val="22"/>
        </w:rPr>
        <w:t xml:space="preserve">of the </w:t>
      </w:r>
      <w:r w:rsidR="00347E21">
        <w:rPr>
          <w:sz w:val="22"/>
        </w:rPr>
        <w:t>introduction</w:t>
      </w:r>
      <w:r>
        <w:rPr>
          <w:sz w:val="22"/>
        </w:rPr>
        <w:t xml:space="preserve"> that go</w:t>
      </w:r>
      <w:r w:rsidR="004A38B0" w:rsidRPr="00B65992">
        <w:rPr>
          <w:sz w:val="22"/>
        </w:rPr>
        <w:t xml:space="preserve"> beyond the first page.</w:t>
      </w:r>
    </w:p>
    <w:p w14:paraId="662A5D4F" w14:textId="77777777" w:rsidR="004A38B0" w:rsidRPr="00B65992" w:rsidRDefault="004A38B0" w:rsidP="004A38B0">
      <w:pPr>
        <w:spacing w:after="0"/>
        <w:ind w:left="360"/>
        <w:rPr>
          <w:sz w:val="22"/>
        </w:rPr>
      </w:pPr>
    </w:p>
    <w:p w14:paraId="024A883A" w14:textId="77777777" w:rsidR="00F01289" w:rsidRPr="00347E21" w:rsidRDefault="004A38B0" w:rsidP="00F01289">
      <w:pPr>
        <w:numPr>
          <w:ilvl w:val="0"/>
          <w:numId w:val="1"/>
        </w:numPr>
        <w:tabs>
          <w:tab w:val="clear" w:pos="720"/>
          <w:tab w:val="num" w:pos="360"/>
        </w:tabs>
        <w:spacing w:after="0"/>
        <w:ind w:left="360"/>
        <w:rPr>
          <w:sz w:val="22"/>
        </w:rPr>
      </w:pPr>
      <w:r w:rsidRPr="00B65992">
        <w:rPr>
          <w:b/>
          <w:sz w:val="22"/>
        </w:rPr>
        <w:t>Documentation</w:t>
      </w:r>
      <w:r w:rsidR="005A2C45">
        <w:rPr>
          <w:sz w:val="22"/>
        </w:rPr>
        <w:t xml:space="preserve"> (3</w:t>
      </w:r>
      <w:r w:rsidRPr="00B65992">
        <w:rPr>
          <w:sz w:val="22"/>
        </w:rPr>
        <w:t xml:space="preserve">0 points):  A </w:t>
      </w:r>
      <w:r w:rsidRPr="00B65992">
        <w:rPr>
          <w:b/>
          <w:sz w:val="22"/>
        </w:rPr>
        <w:t xml:space="preserve">collection of facts, </w:t>
      </w:r>
      <w:r w:rsidR="00F01289">
        <w:rPr>
          <w:b/>
          <w:sz w:val="22"/>
        </w:rPr>
        <w:t>excerpts, political cartoons</w:t>
      </w:r>
      <w:r w:rsidRPr="00B65992">
        <w:rPr>
          <w:b/>
          <w:sz w:val="22"/>
        </w:rPr>
        <w:t>,</w:t>
      </w:r>
      <w:r w:rsidR="00F01289">
        <w:rPr>
          <w:b/>
          <w:sz w:val="22"/>
        </w:rPr>
        <w:t xml:space="preserve"> pictures, graphs,</w:t>
      </w:r>
      <w:r w:rsidRPr="00B65992">
        <w:rPr>
          <w:b/>
          <w:sz w:val="22"/>
        </w:rPr>
        <w:t xml:space="preserve"> and other information</w:t>
      </w:r>
      <w:r w:rsidR="00F01289">
        <w:rPr>
          <w:b/>
          <w:sz w:val="22"/>
        </w:rPr>
        <w:t>, similar to documents in a DBQ,</w:t>
      </w:r>
      <w:r w:rsidRPr="00B65992">
        <w:rPr>
          <w:sz w:val="22"/>
        </w:rPr>
        <w:t xml:space="preserve"> should be used to support your discussion and help you fit into the discussion no matter which direction it may go. This section should be typed, single-spaced with double or triple spacing between </w:t>
      </w:r>
      <w:r w:rsidR="00F01289">
        <w:rPr>
          <w:sz w:val="22"/>
        </w:rPr>
        <w:t>source material</w:t>
      </w:r>
      <w:r w:rsidRPr="00B65992">
        <w:rPr>
          <w:sz w:val="22"/>
        </w:rPr>
        <w:t xml:space="preserve">. Be sure to </w:t>
      </w:r>
      <w:r w:rsidRPr="00B65992">
        <w:rPr>
          <w:b/>
          <w:sz w:val="22"/>
        </w:rPr>
        <w:t xml:space="preserve">cite where each </w:t>
      </w:r>
      <w:r w:rsidR="00F01289">
        <w:rPr>
          <w:b/>
          <w:sz w:val="22"/>
        </w:rPr>
        <w:t>document</w:t>
      </w:r>
      <w:r w:rsidRPr="00B65992">
        <w:rPr>
          <w:sz w:val="22"/>
        </w:rPr>
        <w:t xml:space="preserve"> comes from. </w:t>
      </w:r>
    </w:p>
    <w:p w14:paraId="0058DB76" w14:textId="77777777" w:rsidR="004A38B0" w:rsidRPr="00B65992" w:rsidRDefault="00720E08" w:rsidP="004A38B0">
      <w:pPr>
        <w:numPr>
          <w:ilvl w:val="1"/>
          <w:numId w:val="1"/>
        </w:numPr>
        <w:tabs>
          <w:tab w:val="clear" w:pos="1440"/>
          <w:tab w:val="num" w:pos="1080"/>
        </w:tabs>
        <w:spacing w:after="0"/>
        <w:ind w:left="1080"/>
        <w:rPr>
          <w:sz w:val="22"/>
        </w:rPr>
      </w:pPr>
      <w:r>
        <w:rPr>
          <w:sz w:val="22"/>
        </w:rPr>
        <w:t xml:space="preserve">A = </w:t>
      </w:r>
      <w:r w:rsidR="00D862C1">
        <w:rPr>
          <w:sz w:val="22"/>
        </w:rPr>
        <w:t>17-</w:t>
      </w:r>
      <w:r>
        <w:rPr>
          <w:sz w:val="22"/>
        </w:rPr>
        <w:t>20</w:t>
      </w:r>
      <w:r w:rsidR="00347E21">
        <w:rPr>
          <w:sz w:val="22"/>
        </w:rPr>
        <w:t>+</w:t>
      </w:r>
      <w:r w:rsidR="00F01289">
        <w:rPr>
          <w:sz w:val="22"/>
        </w:rPr>
        <w:t xml:space="preserve"> insightful excerpts/docs from variety </w:t>
      </w:r>
      <w:r w:rsidR="004F5412">
        <w:rPr>
          <w:sz w:val="22"/>
        </w:rPr>
        <w:t xml:space="preserve">of </w:t>
      </w:r>
      <w:r w:rsidR="004F5412" w:rsidRPr="00B65992">
        <w:rPr>
          <w:sz w:val="22"/>
        </w:rPr>
        <w:t>identified</w:t>
      </w:r>
      <w:r w:rsidR="004A38B0" w:rsidRPr="00B65992">
        <w:rPr>
          <w:sz w:val="22"/>
        </w:rPr>
        <w:t xml:space="preserve"> sources</w:t>
      </w:r>
    </w:p>
    <w:p w14:paraId="6BE7EECC" w14:textId="77777777" w:rsidR="004A38B0" w:rsidRPr="00B65992" w:rsidRDefault="004A38B0" w:rsidP="004A38B0">
      <w:pPr>
        <w:numPr>
          <w:ilvl w:val="1"/>
          <w:numId w:val="1"/>
        </w:numPr>
        <w:tabs>
          <w:tab w:val="clear" w:pos="1440"/>
          <w:tab w:val="num" w:pos="1080"/>
        </w:tabs>
        <w:spacing w:after="0"/>
        <w:ind w:left="1080"/>
        <w:rPr>
          <w:sz w:val="22"/>
        </w:rPr>
      </w:pPr>
      <w:r w:rsidRPr="00B65992">
        <w:rPr>
          <w:sz w:val="22"/>
        </w:rPr>
        <w:t xml:space="preserve">B = </w:t>
      </w:r>
      <w:r w:rsidR="00D862C1">
        <w:rPr>
          <w:sz w:val="22"/>
        </w:rPr>
        <w:t>12-15</w:t>
      </w:r>
      <w:r w:rsidRPr="00B65992">
        <w:rPr>
          <w:sz w:val="22"/>
        </w:rPr>
        <w:t xml:space="preserve">  </w:t>
      </w:r>
      <w:r w:rsidR="00F01289">
        <w:rPr>
          <w:sz w:val="22"/>
        </w:rPr>
        <w:t xml:space="preserve">quality </w:t>
      </w:r>
      <w:r w:rsidRPr="00B65992">
        <w:rPr>
          <w:sz w:val="22"/>
        </w:rPr>
        <w:t>entries</w:t>
      </w:r>
      <w:r w:rsidR="00F01289">
        <w:rPr>
          <w:sz w:val="22"/>
        </w:rPr>
        <w:t xml:space="preserve"> w</w:t>
      </w:r>
      <w:r w:rsidR="00720E08">
        <w:rPr>
          <w:sz w:val="22"/>
        </w:rPr>
        <w:t>ith variety</w:t>
      </w:r>
      <w:r w:rsidR="00177EB0">
        <w:rPr>
          <w:sz w:val="22"/>
        </w:rPr>
        <w:t>—beyond attached handouts</w:t>
      </w:r>
      <w:r w:rsidRPr="00B65992">
        <w:rPr>
          <w:sz w:val="22"/>
        </w:rPr>
        <w:tab/>
      </w:r>
    </w:p>
    <w:p w14:paraId="3BC0EA09" w14:textId="77777777" w:rsidR="004A38B0" w:rsidRPr="00347E21" w:rsidRDefault="00720E08" w:rsidP="00161849">
      <w:pPr>
        <w:numPr>
          <w:ilvl w:val="1"/>
          <w:numId w:val="1"/>
        </w:numPr>
        <w:tabs>
          <w:tab w:val="clear" w:pos="1440"/>
          <w:tab w:val="num" w:pos="1080"/>
        </w:tabs>
        <w:spacing w:after="0"/>
        <w:ind w:left="1080"/>
        <w:rPr>
          <w:sz w:val="22"/>
        </w:rPr>
      </w:pPr>
      <w:r>
        <w:rPr>
          <w:sz w:val="22"/>
        </w:rPr>
        <w:t xml:space="preserve">C = </w:t>
      </w:r>
      <w:r w:rsidR="00D862C1">
        <w:rPr>
          <w:sz w:val="22"/>
        </w:rPr>
        <w:t>8-</w:t>
      </w:r>
      <w:r w:rsidR="00F01289">
        <w:rPr>
          <w:sz w:val="22"/>
        </w:rPr>
        <w:t>10 adequate</w:t>
      </w:r>
      <w:r w:rsidR="004A38B0" w:rsidRPr="00B65992">
        <w:rPr>
          <w:sz w:val="22"/>
        </w:rPr>
        <w:t xml:space="preserve">  entries—beyond </w:t>
      </w:r>
      <w:r w:rsidR="00177EB0">
        <w:rPr>
          <w:sz w:val="22"/>
        </w:rPr>
        <w:t>those in attached</w:t>
      </w:r>
      <w:r w:rsidR="004A38B0" w:rsidRPr="00B65992">
        <w:rPr>
          <w:sz w:val="22"/>
        </w:rPr>
        <w:t xml:space="preserve"> handouts</w:t>
      </w:r>
    </w:p>
    <w:p w14:paraId="72DF3482" w14:textId="77777777" w:rsidR="004A38B0" w:rsidRDefault="004A38B0" w:rsidP="004A38B0">
      <w:pPr>
        <w:numPr>
          <w:ilvl w:val="0"/>
          <w:numId w:val="1"/>
        </w:numPr>
        <w:tabs>
          <w:tab w:val="clear" w:pos="720"/>
          <w:tab w:val="num" w:pos="360"/>
        </w:tabs>
        <w:spacing w:after="0"/>
        <w:ind w:left="360"/>
        <w:rPr>
          <w:sz w:val="22"/>
        </w:rPr>
      </w:pPr>
      <w:r w:rsidRPr="00B65992">
        <w:rPr>
          <w:b/>
          <w:sz w:val="22"/>
        </w:rPr>
        <w:lastRenderedPageBreak/>
        <w:t xml:space="preserve">Bibliography </w:t>
      </w:r>
      <w:r w:rsidR="005A2C45">
        <w:rPr>
          <w:sz w:val="22"/>
        </w:rPr>
        <w:t>(10</w:t>
      </w:r>
      <w:r w:rsidRPr="00B65992">
        <w:rPr>
          <w:sz w:val="22"/>
        </w:rPr>
        <w:t xml:space="preserve"> points):  Include a bibliography, properly formatted of all the sources you use</w:t>
      </w:r>
      <w:r w:rsidR="004F5412">
        <w:rPr>
          <w:sz w:val="22"/>
        </w:rPr>
        <w:t>d</w:t>
      </w:r>
      <w:r w:rsidRPr="00B65992">
        <w:rPr>
          <w:sz w:val="22"/>
        </w:rPr>
        <w:t xml:space="preserve"> to prepare for this seminar. </w:t>
      </w:r>
      <w:r w:rsidR="00347E21">
        <w:rPr>
          <w:sz w:val="22"/>
        </w:rPr>
        <w:t xml:space="preserve"> Use Chicago Style.  URLs </w:t>
      </w:r>
      <w:r w:rsidR="00E92B56">
        <w:rPr>
          <w:sz w:val="22"/>
        </w:rPr>
        <w:t>alone are NOT acceptable.</w:t>
      </w:r>
    </w:p>
    <w:p w14:paraId="77EE45E0" w14:textId="77777777" w:rsidR="0073605D" w:rsidRPr="0073605D" w:rsidRDefault="0073605D" w:rsidP="0073605D">
      <w:pPr>
        <w:spacing w:after="0"/>
        <w:ind w:left="360"/>
        <w:rPr>
          <w:sz w:val="22"/>
        </w:rPr>
      </w:pPr>
    </w:p>
    <w:p w14:paraId="0AFB9CE3" w14:textId="77777777" w:rsidR="004A38B0" w:rsidRPr="00B65992" w:rsidRDefault="005A2C45" w:rsidP="004A38B0">
      <w:pPr>
        <w:rPr>
          <w:sz w:val="22"/>
        </w:rPr>
      </w:pPr>
      <w:r>
        <w:rPr>
          <w:b/>
          <w:sz w:val="22"/>
        </w:rPr>
        <w:t>Oral Component (</w:t>
      </w:r>
      <w:r w:rsidR="004A38B0" w:rsidRPr="00B65992">
        <w:rPr>
          <w:b/>
          <w:sz w:val="22"/>
        </w:rPr>
        <w:t>5</w:t>
      </w:r>
      <w:r>
        <w:rPr>
          <w:b/>
          <w:sz w:val="22"/>
        </w:rPr>
        <w:t>0</w:t>
      </w:r>
      <w:r w:rsidR="004A38B0" w:rsidRPr="00B65992">
        <w:rPr>
          <w:b/>
          <w:sz w:val="22"/>
        </w:rPr>
        <w:t xml:space="preserve"> points):</w:t>
      </w:r>
      <w:r w:rsidR="004A38B0" w:rsidRPr="00B65992">
        <w:rPr>
          <w:sz w:val="22"/>
        </w:rPr>
        <w:t xml:space="preserve">  Be prepared to share, debate, agree, question, and challenge other members of the class during the seminar.  A quality response generally consists of </w:t>
      </w:r>
      <w:r w:rsidR="004A38B0" w:rsidRPr="00B65992">
        <w:rPr>
          <w:b/>
          <w:sz w:val="22"/>
        </w:rPr>
        <w:t>PEA.  State your point, support with evidence, and analyze how the evidence proves the point</w:t>
      </w:r>
      <w:r w:rsidR="004A38B0" w:rsidRPr="00B65992">
        <w:rPr>
          <w:sz w:val="22"/>
        </w:rPr>
        <w:t>. Your grade for the oral part will be based on the following:</w:t>
      </w:r>
    </w:p>
    <w:p w14:paraId="71BE6357" w14:textId="77777777" w:rsidR="004A38B0" w:rsidRPr="00B65992" w:rsidRDefault="004A38B0" w:rsidP="004A38B0">
      <w:pPr>
        <w:numPr>
          <w:ilvl w:val="0"/>
          <w:numId w:val="2"/>
        </w:numPr>
        <w:tabs>
          <w:tab w:val="clear" w:pos="720"/>
          <w:tab w:val="num" w:pos="360"/>
        </w:tabs>
        <w:spacing w:after="0"/>
        <w:ind w:left="360"/>
        <w:rPr>
          <w:sz w:val="22"/>
        </w:rPr>
      </w:pPr>
      <w:r w:rsidRPr="00B65992">
        <w:rPr>
          <w:b/>
          <w:sz w:val="22"/>
        </w:rPr>
        <w:t>A = Outstanding participation</w:t>
      </w:r>
    </w:p>
    <w:p w14:paraId="2FF5E742" w14:textId="77777777" w:rsidR="004A38B0" w:rsidRPr="00B65992" w:rsidRDefault="004A38B0" w:rsidP="004A38B0">
      <w:pPr>
        <w:numPr>
          <w:ilvl w:val="1"/>
          <w:numId w:val="2"/>
        </w:numPr>
        <w:spacing w:after="0"/>
        <w:rPr>
          <w:sz w:val="22"/>
        </w:rPr>
      </w:pPr>
      <w:r w:rsidRPr="00B65992">
        <w:rPr>
          <w:sz w:val="22"/>
        </w:rPr>
        <w:t>Speak when called on, two or more times</w:t>
      </w:r>
    </w:p>
    <w:p w14:paraId="07B5A320" w14:textId="77777777" w:rsidR="004A38B0" w:rsidRPr="00B65992" w:rsidRDefault="004A38B0" w:rsidP="004A38B0">
      <w:pPr>
        <w:numPr>
          <w:ilvl w:val="1"/>
          <w:numId w:val="2"/>
        </w:numPr>
        <w:spacing w:after="0"/>
        <w:rPr>
          <w:sz w:val="22"/>
        </w:rPr>
      </w:pPr>
      <w:r w:rsidRPr="00B65992">
        <w:rPr>
          <w:sz w:val="22"/>
        </w:rPr>
        <w:t>Dress professionally (business casual) for seminar</w:t>
      </w:r>
    </w:p>
    <w:p w14:paraId="5E3FB56D" w14:textId="77777777" w:rsidR="004A38B0" w:rsidRPr="00B65992" w:rsidRDefault="004A38B0" w:rsidP="004A38B0">
      <w:pPr>
        <w:numPr>
          <w:ilvl w:val="1"/>
          <w:numId w:val="2"/>
        </w:numPr>
        <w:spacing w:after="0"/>
        <w:rPr>
          <w:sz w:val="22"/>
        </w:rPr>
      </w:pPr>
      <w:r w:rsidRPr="00B65992">
        <w:rPr>
          <w:sz w:val="22"/>
        </w:rPr>
        <w:t>Comment with clear, concise, and insightful observations</w:t>
      </w:r>
    </w:p>
    <w:p w14:paraId="4D1FF648" w14:textId="77777777" w:rsidR="004A38B0" w:rsidRPr="00B65992" w:rsidRDefault="004A38B0" w:rsidP="004A38B0">
      <w:pPr>
        <w:numPr>
          <w:ilvl w:val="1"/>
          <w:numId w:val="2"/>
        </w:numPr>
        <w:spacing w:after="0"/>
        <w:rPr>
          <w:sz w:val="22"/>
        </w:rPr>
      </w:pPr>
      <w:r w:rsidRPr="00B65992">
        <w:rPr>
          <w:sz w:val="22"/>
        </w:rPr>
        <w:t>Demonstrate attentive listening skills and connect to others’ comments with additional supporting points and/or examples</w:t>
      </w:r>
      <w:r w:rsidR="00964327">
        <w:rPr>
          <w:sz w:val="22"/>
        </w:rPr>
        <w:t>,</w:t>
      </w:r>
      <w:r w:rsidRPr="00B65992">
        <w:rPr>
          <w:sz w:val="22"/>
        </w:rPr>
        <w:t xml:space="preserve"> or respectfully disagree with effective counterpoints and examples</w:t>
      </w:r>
    </w:p>
    <w:p w14:paraId="5E380045" w14:textId="77777777" w:rsidR="004A38B0" w:rsidRPr="00B65992" w:rsidRDefault="004A38B0" w:rsidP="004A38B0">
      <w:pPr>
        <w:numPr>
          <w:ilvl w:val="1"/>
          <w:numId w:val="2"/>
        </w:numPr>
        <w:spacing w:after="0"/>
        <w:rPr>
          <w:sz w:val="22"/>
        </w:rPr>
      </w:pPr>
      <w:r w:rsidRPr="00B65992">
        <w:rPr>
          <w:sz w:val="22"/>
        </w:rPr>
        <w:t>Provide effective PEA in your comments:</w:t>
      </w:r>
    </w:p>
    <w:p w14:paraId="256F4849" w14:textId="77777777" w:rsidR="004A38B0" w:rsidRPr="00B65992" w:rsidRDefault="004A38B0" w:rsidP="004A38B0">
      <w:pPr>
        <w:numPr>
          <w:ilvl w:val="2"/>
          <w:numId w:val="2"/>
        </w:numPr>
        <w:spacing w:after="0"/>
        <w:rPr>
          <w:sz w:val="22"/>
        </w:rPr>
      </w:pPr>
      <w:r w:rsidRPr="00B65992">
        <w:rPr>
          <w:sz w:val="22"/>
        </w:rPr>
        <w:t>Point reveals an arguable thesis</w:t>
      </w:r>
    </w:p>
    <w:p w14:paraId="3934DD9B" w14:textId="77777777" w:rsidR="004A38B0" w:rsidRPr="00B65992" w:rsidRDefault="004A38B0" w:rsidP="004A38B0">
      <w:pPr>
        <w:numPr>
          <w:ilvl w:val="2"/>
          <w:numId w:val="2"/>
        </w:numPr>
        <w:spacing w:after="0"/>
        <w:rPr>
          <w:sz w:val="22"/>
        </w:rPr>
      </w:pPr>
      <w:r w:rsidRPr="00B65992">
        <w:rPr>
          <w:sz w:val="22"/>
        </w:rPr>
        <w:t xml:space="preserve">Evidence supports point with well chosen </w:t>
      </w:r>
      <w:r w:rsidR="005A2C45">
        <w:rPr>
          <w:sz w:val="22"/>
        </w:rPr>
        <w:t xml:space="preserve">historical detail and multiple </w:t>
      </w:r>
      <w:r w:rsidRPr="00B65992">
        <w:rPr>
          <w:sz w:val="22"/>
        </w:rPr>
        <w:t>examples</w:t>
      </w:r>
    </w:p>
    <w:p w14:paraId="3C2648EB" w14:textId="77777777" w:rsidR="004A38B0" w:rsidRPr="00B65992" w:rsidRDefault="004A38B0" w:rsidP="004A38B0">
      <w:pPr>
        <w:numPr>
          <w:ilvl w:val="2"/>
          <w:numId w:val="2"/>
        </w:numPr>
        <w:spacing w:after="0"/>
        <w:rPr>
          <w:sz w:val="22"/>
        </w:rPr>
      </w:pPr>
      <w:r w:rsidRPr="00B65992">
        <w:rPr>
          <w:sz w:val="22"/>
        </w:rPr>
        <w:t>Analysis is insightful and clearly stated</w:t>
      </w:r>
    </w:p>
    <w:p w14:paraId="23C82F66" w14:textId="77777777" w:rsidR="004A38B0" w:rsidRPr="00B65992" w:rsidRDefault="004A38B0" w:rsidP="004A38B0">
      <w:pPr>
        <w:spacing w:after="0"/>
        <w:ind w:left="2160"/>
        <w:rPr>
          <w:sz w:val="22"/>
        </w:rPr>
      </w:pPr>
    </w:p>
    <w:p w14:paraId="51CF0F3B" w14:textId="77777777" w:rsidR="004A38B0" w:rsidRPr="00B65992" w:rsidRDefault="004A38B0" w:rsidP="004A38B0">
      <w:pPr>
        <w:numPr>
          <w:ilvl w:val="0"/>
          <w:numId w:val="2"/>
        </w:numPr>
        <w:tabs>
          <w:tab w:val="clear" w:pos="720"/>
          <w:tab w:val="num" w:pos="360"/>
        </w:tabs>
        <w:spacing w:after="0"/>
        <w:ind w:left="360"/>
        <w:rPr>
          <w:sz w:val="22"/>
        </w:rPr>
      </w:pPr>
      <w:r w:rsidRPr="00B65992">
        <w:rPr>
          <w:b/>
          <w:sz w:val="22"/>
        </w:rPr>
        <w:t>B = Effective participation</w:t>
      </w:r>
    </w:p>
    <w:p w14:paraId="0F882699" w14:textId="77777777" w:rsidR="004A38B0" w:rsidRPr="00B65992" w:rsidRDefault="004A38B0" w:rsidP="004A38B0">
      <w:pPr>
        <w:numPr>
          <w:ilvl w:val="1"/>
          <w:numId w:val="2"/>
        </w:numPr>
        <w:spacing w:after="0"/>
        <w:rPr>
          <w:sz w:val="22"/>
        </w:rPr>
      </w:pPr>
      <w:r w:rsidRPr="00B65992">
        <w:rPr>
          <w:sz w:val="22"/>
        </w:rPr>
        <w:t>Speak when called on, two or more times</w:t>
      </w:r>
    </w:p>
    <w:p w14:paraId="753D7F17" w14:textId="77777777" w:rsidR="004A38B0" w:rsidRPr="00B65992" w:rsidRDefault="004A38B0" w:rsidP="004A38B0">
      <w:pPr>
        <w:numPr>
          <w:ilvl w:val="1"/>
          <w:numId w:val="2"/>
        </w:numPr>
        <w:spacing w:after="0"/>
        <w:rPr>
          <w:sz w:val="22"/>
        </w:rPr>
      </w:pPr>
      <w:r w:rsidRPr="00B65992">
        <w:rPr>
          <w:sz w:val="22"/>
        </w:rPr>
        <w:t>Dress professionally (business casual) for seminar</w:t>
      </w:r>
    </w:p>
    <w:p w14:paraId="53418872" w14:textId="77777777" w:rsidR="004A38B0" w:rsidRPr="00B65992" w:rsidRDefault="004A38B0" w:rsidP="004A38B0">
      <w:pPr>
        <w:numPr>
          <w:ilvl w:val="1"/>
          <w:numId w:val="2"/>
        </w:numPr>
        <w:spacing w:after="0"/>
        <w:rPr>
          <w:sz w:val="22"/>
        </w:rPr>
      </w:pPr>
      <w:r w:rsidRPr="00B65992">
        <w:rPr>
          <w:sz w:val="22"/>
        </w:rPr>
        <w:t>Comment with clear, significant observations</w:t>
      </w:r>
    </w:p>
    <w:p w14:paraId="141C5742" w14:textId="77777777" w:rsidR="004A38B0" w:rsidRPr="00B65992" w:rsidRDefault="004A38B0" w:rsidP="004A38B0">
      <w:pPr>
        <w:numPr>
          <w:ilvl w:val="1"/>
          <w:numId w:val="2"/>
        </w:numPr>
        <w:spacing w:after="0"/>
        <w:rPr>
          <w:sz w:val="22"/>
        </w:rPr>
      </w:pPr>
      <w:r w:rsidRPr="00B65992">
        <w:rPr>
          <w:sz w:val="22"/>
        </w:rPr>
        <w:t>Demonstrate listening skills and attempt to connect to others with supporting evidence</w:t>
      </w:r>
      <w:r w:rsidR="00964327">
        <w:rPr>
          <w:sz w:val="22"/>
        </w:rPr>
        <w:t>,</w:t>
      </w:r>
      <w:r w:rsidRPr="00B65992">
        <w:rPr>
          <w:sz w:val="22"/>
        </w:rPr>
        <w:t xml:space="preserve"> or bring up counterpoints and examples</w:t>
      </w:r>
    </w:p>
    <w:p w14:paraId="1E4C2A4A" w14:textId="77777777" w:rsidR="004A38B0" w:rsidRPr="00B65992" w:rsidRDefault="004A38B0" w:rsidP="004A38B0">
      <w:pPr>
        <w:numPr>
          <w:ilvl w:val="1"/>
          <w:numId w:val="2"/>
        </w:numPr>
        <w:spacing w:after="0"/>
        <w:rPr>
          <w:sz w:val="22"/>
        </w:rPr>
      </w:pPr>
      <w:r w:rsidRPr="00B65992">
        <w:rPr>
          <w:sz w:val="22"/>
        </w:rPr>
        <w:t>Generally provide PEA in your comments:</w:t>
      </w:r>
    </w:p>
    <w:p w14:paraId="6AFF0BE8" w14:textId="77777777" w:rsidR="004A38B0" w:rsidRPr="00B65992" w:rsidRDefault="004A38B0" w:rsidP="004A38B0">
      <w:pPr>
        <w:numPr>
          <w:ilvl w:val="2"/>
          <w:numId w:val="2"/>
        </w:numPr>
        <w:spacing w:after="0"/>
        <w:rPr>
          <w:sz w:val="22"/>
        </w:rPr>
      </w:pPr>
      <w:r w:rsidRPr="00B65992">
        <w:rPr>
          <w:sz w:val="22"/>
        </w:rPr>
        <w:t>Point reveals a thesis</w:t>
      </w:r>
    </w:p>
    <w:p w14:paraId="5578B7DE" w14:textId="77777777" w:rsidR="004A38B0" w:rsidRPr="00B65992" w:rsidRDefault="004A38B0" w:rsidP="004A38B0">
      <w:pPr>
        <w:numPr>
          <w:ilvl w:val="2"/>
          <w:numId w:val="2"/>
        </w:numPr>
        <w:spacing w:after="0"/>
        <w:rPr>
          <w:sz w:val="22"/>
        </w:rPr>
      </w:pPr>
      <w:r w:rsidRPr="00B65992">
        <w:rPr>
          <w:sz w:val="22"/>
        </w:rPr>
        <w:t>Evidence supports your point with historical detail and more than one example</w:t>
      </w:r>
    </w:p>
    <w:p w14:paraId="1332B1C4" w14:textId="77777777" w:rsidR="004A38B0" w:rsidRPr="00B65992" w:rsidRDefault="004A38B0" w:rsidP="004A38B0">
      <w:pPr>
        <w:numPr>
          <w:ilvl w:val="2"/>
          <w:numId w:val="2"/>
        </w:numPr>
        <w:spacing w:after="0"/>
        <w:rPr>
          <w:sz w:val="22"/>
        </w:rPr>
      </w:pPr>
      <w:r w:rsidRPr="00B65992">
        <w:rPr>
          <w:sz w:val="22"/>
        </w:rPr>
        <w:t>Analysis is valid and clearly stated</w:t>
      </w:r>
    </w:p>
    <w:p w14:paraId="1ADA782F" w14:textId="77777777" w:rsidR="004A38B0" w:rsidRPr="00B65992" w:rsidRDefault="004A38B0" w:rsidP="004A38B0">
      <w:pPr>
        <w:spacing w:after="0"/>
        <w:rPr>
          <w:sz w:val="22"/>
        </w:rPr>
      </w:pPr>
    </w:p>
    <w:p w14:paraId="4A415D98" w14:textId="77777777" w:rsidR="004A38B0" w:rsidRPr="00B65992" w:rsidRDefault="004A38B0" w:rsidP="004A38B0">
      <w:pPr>
        <w:numPr>
          <w:ilvl w:val="0"/>
          <w:numId w:val="2"/>
        </w:numPr>
        <w:tabs>
          <w:tab w:val="clear" w:pos="720"/>
          <w:tab w:val="num" w:pos="360"/>
        </w:tabs>
        <w:spacing w:after="0"/>
        <w:ind w:left="360"/>
        <w:rPr>
          <w:sz w:val="22"/>
        </w:rPr>
      </w:pPr>
      <w:r w:rsidRPr="00B65992">
        <w:rPr>
          <w:b/>
          <w:sz w:val="22"/>
        </w:rPr>
        <w:t>C = Adequate participation</w:t>
      </w:r>
    </w:p>
    <w:p w14:paraId="48B064BD" w14:textId="77777777" w:rsidR="004A38B0" w:rsidRPr="00B65992" w:rsidRDefault="004A38B0" w:rsidP="004A38B0">
      <w:pPr>
        <w:numPr>
          <w:ilvl w:val="1"/>
          <w:numId w:val="2"/>
        </w:numPr>
        <w:spacing w:after="0"/>
        <w:rPr>
          <w:sz w:val="22"/>
        </w:rPr>
      </w:pPr>
      <w:r w:rsidRPr="00B65992">
        <w:rPr>
          <w:sz w:val="22"/>
        </w:rPr>
        <w:t>Speak when called on one or more times</w:t>
      </w:r>
    </w:p>
    <w:p w14:paraId="32157C4E" w14:textId="77777777" w:rsidR="004A38B0" w:rsidRPr="00B65992" w:rsidRDefault="004A38B0" w:rsidP="004A38B0">
      <w:pPr>
        <w:numPr>
          <w:ilvl w:val="1"/>
          <w:numId w:val="2"/>
        </w:numPr>
        <w:spacing w:after="0"/>
        <w:rPr>
          <w:sz w:val="22"/>
        </w:rPr>
      </w:pPr>
      <w:r w:rsidRPr="00B65992">
        <w:rPr>
          <w:sz w:val="22"/>
        </w:rPr>
        <w:t>Dress appropriately for seminar</w:t>
      </w:r>
    </w:p>
    <w:p w14:paraId="7D4E8769" w14:textId="77777777" w:rsidR="004A38B0" w:rsidRPr="00B65992" w:rsidRDefault="004A38B0" w:rsidP="004A38B0">
      <w:pPr>
        <w:numPr>
          <w:ilvl w:val="1"/>
          <w:numId w:val="2"/>
        </w:numPr>
        <w:spacing w:after="0"/>
        <w:rPr>
          <w:sz w:val="22"/>
        </w:rPr>
      </w:pPr>
      <w:r w:rsidRPr="00B65992">
        <w:rPr>
          <w:sz w:val="22"/>
        </w:rPr>
        <w:t>Share your observations on the focus question</w:t>
      </w:r>
    </w:p>
    <w:p w14:paraId="48ADC77F" w14:textId="77777777" w:rsidR="004A38B0" w:rsidRPr="00B65992" w:rsidRDefault="004A38B0" w:rsidP="004A38B0">
      <w:pPr>
        <w:numPr>
          <w:ilvl w:val="1"/>
          <w:numId w:val="2"/>
        </w:numPr>
        <w:spacing w:after="0"/>
        <w:rPr>
          <w:sz w:val="22"/>
        </w:rPr>
      </w:pPr>
      <w:r w:rsidRPr="00B65992">
        <w:rPr>
          <w:sz w:val="22"/>
        </w:rPr>
        <w:t>Demonstrate good listening skills and try to relate to others’ comments</w:t>
      </w:r>
    </w:p>
    <w:p w14:paraId="4DCB32D2" w14:textId="77777777" w:rsidR="004A38B0" w:rsidRPr="00B65992" w:rsidRDefault="00964327" w:rsidP="004A38B0">
      <w:pPr>
        <w:numPr>
          <w:ilvl w:val="1"/>
          <w:numId w:val="2"/>
        </w:numPr>
        <w:spacing w:after="0"/>
        <w:rPr>
          <w:sz w:val="22"/>
        </w:rPr>
      </w:pPr>
      <w:r>
        <w:rPr>
          <w:sz w:val="22"/>
        </w:rPr>
        <w:t xml:space="preserve">Include </w:t>
      </w:r>
      <w:r w:rsidR="004A38B0" w:rsidRPr="00B65992">
        <w:rPr>
          <w:sz w:val="22"/>
        </w:rPr>
        <w:t>point, evidence, analysis</w:t>
      </w:r>
    </w:p>
    <w:p w14:paraId="07697A69" w14:textId="77777777" w:rsidR="004A38B0" w:rsidRPr="00B65992" w:rsidRDefault="004A38B0" w:rsidP="004A38B0">
      <w:pPr>
        <w:spacing w:after="0"/>
        <w:ind w:left="360"/>
        <w:rPr>
          <w:sz w:val="22"/>
        </w:rPr>
      </w:pPr>
    </w:p>
    <w:p w14:paraId="7489B2A2" w14:textId="77777777" w:rsidR="004A38B0" w:rsidRPr="00B65992" w:rsidRDefault="004A38B0" w:rsidP="004A38B0">
      <w:pPr>
        <w:numPr>
          <w:ilvl w:val="0"/>
          <w:numId w:val="2"/>
        </w:numPr>
        <w:tabs>
          <w:tab w:val="clear" w:pos="720"/>
          <w:tab w:val="num" w:pos="360"/>
        </w:tabs>
        <w:spacing w:after="0"/>
        <w:ind w:left="360"/>
        <w:rPr>
          <w:sz w:val="22"/>
        </w:rPr>
      </w:pPr>
      <w:r w:rsidRPr="00B65992">
        <w:rPr>
          <w:b/>
          <w:sz w:val="22"/>
        </w:rPr>
        <w:t>D = Attendance which demonstrates clear effort to listen, learn, and share, but was unprepared</w:t>
      </w:r>
    </w:p>
    <w:p w14:paraId="6196DC4C" w14:textId="77777777" w:rsidR="004A38B0" w:rsidRPr="00B65992" w:rsidRDefault="004A38B0" w:rsidP="004A38B0">
      <w:pPr>
        <w:spacing w:after="0"/>
        <w:ind w:left="360"/>
        <w:rPr>
          <w:sz w:val="22"/>
        </w:rPr>
      </w:pPr>
    </w:p>
    <w:p w14:paraId="738E3BBA" w14:textId="77777777" w:rsidR="004A38B0" w:rsidRPr="003C5C58" w:rsidRDefault="004A38B0" w:rsidP="004A38B0">
      <w:pPr>
        <w:numPr>
          <w:ilvl w:val="0"/>
          <w:numId w:val="2"/>
        </w:numPr>
        <w:tabs>
          <w:tab w:val="clear" w:pos="720"/>
          <w:tab w:val="num" w:pos="360"/>
        </w:tabs>
        <w:spacing w:after="0"/>
        <w:ind w:left="360"/>
        <w:rPr>
          <w:sz w:val="22"/>
        </w:rPr>
      </w:pPr>
      <w:r w:rsidRPr="00B65992">
        <w:rPr>
          <w:b/>
          <w:sz w:val="22"/>
        </w:rPr>
        <w:t>Half Credit received if you attend the seminar, listen, but fail to speak up.</w:t>
      </w:r>
    </w:p>
    <w:p w14:paraId="329652E5" w14:textId="77777777" w:rsidR="004A38B0" w:rsidRDefault="004A38B0" w:rsidP="004A38B0">
      <w:pPr>
        <w:spacing w:after="0"/>
        <w:rPr>
          <w:sz w:val="22"/>
        </w:rPr>
      </w:pPr>
    </w:p>
    <w:p w14:paraId="4BF6ECA3" w14:textId="77777777" w:rsidR="004A38B0" w:rsidRPr="00964327" w:rsidRDefault="004A38B0" w:rsidP="00964327">
      <w:pPr>
        <w:numPr>
          <w:ilvl w:val="0"/>
          <w:numId w:val="2"/>
        </w:numPr>
        <w:tabs>
          <w:tab w:val="clear" w:pos="720"/>
          <w:tab w:val="num" w:pos="360"/>
        </w:tabs>
        <w:spacing w:after="0"/>
        <w:ind w:left="360"/>
        <w:rPr>
          <w:sz w:val="22"/>
        </w:rPr>
      </w:pPr>
      <w:r>
        <w:rPr>
          <w:b/>
          <w:sz w:val="22"/>
        </w:rPr>
        <w:t>NOTE:  Students must raise their hands and wait to be called on by the student moderator.  The moderator will follow Dr. Neal’s rule of precedence in which the order of preference will go first to students who have spoken the least and then according</w:t>
      </w:r>
      <w:r w:rsidR="005A2C45">
        <w:rPr>
          <w:b/>
          <w:sz w:val="22"/>
        </w:rPr>
        <w:t xml:space="preserve"> to</w:t>
      </w:r>
      <w:r>
        <w:rPr>
          <w:b/>
          <w:sz w:val="22"/>
        </w:rPr>
        <w:t xml:space="preserve"> who has been waiting the longest to speak.  This is sometimes difficult to determine, but the moderator will be as fair as possible.  Please be courteous and patient in waiting for your turn to speak.</w:t>
      </w:r>
    </w:p>
    <w:p w14:paraId="5AE11410" w14:textId="77777777" w:rsidR="004A38B0" w:rsidRDefault="004A38B0" w:rsidP="004A38B0">
      <w:pPr>
        <w:spacing w:after="0"/>
        <w:rPr>
          <w:b/>
          <w:sz w:val="22"/>
        </w:rPr>
      </w:pPr>
      <w:r>
        <w:rPr>
          <w:b/>
          <w:sz w:val="22"/>
        </w:rPr>
        <w:br w:type="page"/>
        <w:t xml:space="preserve">Sample Documentation: </w:t>
      </w:r>
    </w:p>
    <w:p w14:paraId="07CB8468" w14:textId="77777777" w:rsidR="004A38B0" w:rsidRDefault="004A38B0" w:rsidP="004A38B0">
      <w:pPr>
        <w:spacing w:after="0"/>
        <w:rPr>
          <w:b/>
          <w:sz w:val="22"/>
        </w:rPr>
      </w:pPr>
    </w:p>
    <w:p w14:paraId="25A32E0C" w14:textId="77777777" w:rsidR="004A38B0" w:rsidRDefault="004A38B0" w:rsidP="004A38B0">
      <w:pPr>
        <w:spacing w:after="0"/>
        <w:rPr>
          <w:sz w:val="22"/>
        </w:rPr>
      </w:pPr>
      <w:r>
        <w:rPr>
          <w:sz w:val="22"/>
        </w:rPr>
        <w:t xml:space="preserve">“And in that place was the box opened wherein the Council for Virginia was nominated, and arriving at the place [Jamestown] where we are now seated, the Council was sworn and the President elected, which for that year was Master Edmund Maria Wingfield, where was made choice for our situation, a very fit place for the erecting of a great city, about which some contention passed betwixt Captain Wingfield and Captain Gosnold.” </w:t>
      </w:r>
    </w:p>
    <w:p w14:paraId="002A58E8" w14:textId="77777777" w:rsidR="004A38B0" w:rsidRDefault="004A38B0" w:rsidP="004A38B0">
      <w:pPr>
        <w:spacing w:after="0"/>
        <w:rPr>
          <w:sz w:val="22"/>
        </w:rPr>
      </w:pPr>
      <w:r>
        <w:rPr>
          <w:sz w:val="22"/>
        </w:rPr>
        <w:t>~John Smith, “A True Relation of Virginia” (1608)</w:t>
      </w:r>
    </w:p>
    <w:p w14:paraId="73A167E3" w14:textId="77777777" w:rsidR="004A38B0" w:rsidRPr="00F13EB0" w:rsidRDefault="004A38B0" w:rsidP="004A38B0">
      <w:pPr>
        <w:spacing w:after="0"/>
        <w:rPr>
          <w:sz w:val="22"/>
        </w:rPr>
      </w:pPr>
    </w:p>
    <w:p w14:paraId="121B64BB" w14:textId="77777777" w:rsidR="004A38B0" w:rsidRPr="00F13EB0" w:rsidRDefault="004A38B0" w:rsidP="004A38B0">
      <w:pPr>
        <w:widowControl w:val="0"/>
        <w:autoSpaceDE w:val="0"/>
        <w:autoSpaceDN w:val="0"/>
        <w:adjustRightInd w:val="0"/>
        <w:spacing w:before="1" w:after="1"/>
        <w:rPr>
          <w:rFonts w:cs="Times"/>
          <w:color w:val="010000"/>
          <w:sz w:val="22"/>
          <w:szCs w:val="23"/>
        </w:rPr>
      </w:pPr>
      <w:r w:rsidRPr="00F13EB0">
        <w:rPr>
          <w:rFonts w:cs="Times"/>
          <w:color w:val="010000"/>
          <w:sz w:val="22"/>
          <w:szCs w:val="23"/>
        </w:rPr>
        <w:t xml:space="preserve">“Williams, a religious zealot, was banished </w:t>
      </w:r>
      <w:r w:rsidRPr="00F13EB0">
        <w:rPr>
          <w:rFonts w:cs="Times"/>
          <w:sz w:val="22"/>
          <w:szCs w:val="23"/>
        </w:rPr>
        <w:t>b</w:t>
      </w:r>
      <w:r w:rsidRPr="00F13EB0">
        <w:rPr>
          <w:rFonts w:cs="Times"/>
          <w:color w:val="010000"/>
          <w:sz w:val="22"/>
          <w:szCs w:val="23"/>
        </w:rPr>
        <w:t xml:space="preserve">ecause he attacked the idea of royal authority over the colonies. He also believed that land in America belonged to native inhabitants. This idea was in direct opposition to an English policy proclaiming that land belonged to the King. Governor John Winthrop stated that Williams was guilty of </w:t>
      </w:r>
      <w:r>
        <w:rPr>
          <w:rFonts w:cs="Times"/>
          <w:color w:val="010000"/>
          <w:sz w:val="22"/>
          <w:szCs w:val="23"/>
        </w:rPr>
        <w:t xml:space="preserve">"great contempt for authority. </w:t>
      </w:r>
      <w:r w:rsidRPr="00F13EB0">
        <w:rPr>
          <w:rFonts w:cs="Times"/>
          <w:color w:val="010000"/>
          <w:sz w:val="22"/>
          <w:szCs w:val="23"/>
        </w:rPr>
        <w:t xml:space="preserve"> </w:t>
      </w:r>
    </w:p>
    <w:p w14:paraId="3FF42623" w14:textId="77777777" w:rsidR="004A38B0" w:rsidRDefault="004A38B0" w:rsidP="00235030">
      <w:pPr>
        <w:widowControl w:val="0"/>
        <w:autoSpaceDE w:val="0"/>
        <w:autoSpaceDN w:val="0"/>
        <w:adjustRightInd w:val="0"/>
        <w:spacing w:before="1" w:after="1"/>
        <w:ind w:firstLine="720"/>
        <w:rPr>
          <w:rFonts w:cs="Times"/>
          <w:color w:val="010000"/>
          <w:sz w:val="22"/>
          <w:szCs w:val="23"/>
        </w:rPr>
      </w:pPr>
      <w:r>
        <w:rPr>
          <w:rFonts w:cs="Times"/>
          <w:color w:val="010000"/>
          <w:sz w:val="22"/>
          <w:szCs w:val="23"/>
        </w:rPr>
        <w:t>“</w:t>
      </w:r>
      <w:r w:rsidRPr="00F13EB0">
        <w:rPr>
          <w:rFonts w:cs="Times"/>
          <w:color w:val="010000"/>
          <w:sz w:val="22"/>
          <w:szCs w:val="23"/>
        </w:rPr>
        <w:t xml:space="preserve">After leaving Massachusetts, Williams established a new colony </w:t>
      </w:r>
      <w:r w:rsidRPr="00F13EB0">
        <w:rPr>
          <w:rFonts w:cs="Helvetica"/>
          <w:color w:val="010000"/>
          <w:sz w:val="22"/>
          <w:szCs w:val="23"/>
        </w:rPr>
        <w:t xml:space="preserve">in </w:t>
      </w:r>
      <w:r w:rsidRPr="00F13EB0">
        <w:rPr>
          <w:rFonts w:cs="Times"/>
          <w:color w:val="010000"/>
          <w:sz w:val="22"/>
          <w:szCs w:val="23"/>
        </w:rPr>
        <w:t xml:space="preserve">Providence, Rhode Island. He hoped to create a colony protecting the liberty of conscience. Rhode Island </w:t>
      </w:r>
      <w:r w:rsidRPr="00F13EB0">
        <w:rPr>
          <w:rFonts w:cs="Times"/>
          <w:sz w:val="22"/>
          <w:szCs w:val="23"/>
        </w:rPr>
        <w:t>t</w:t>
      </w:r>
      <w:r w:rsidRPr="00F13EB0">
        <w:rPr>
          <w:rFonts w:cs="Times"/>
          <w:color w:val="010000"/>
          <w:sz w:val="22"/>
          <w:szCs w:val="23"/>
        </w:rPr>
        <w:t>herefore became the first colony in New</w:t>
      </w:r>
      <w:r w:rsidR="00235030">
        <w:rPr>
          <w:rFonts w:cs="Times"/>
          <w:sz w:val="22"/>
          <w:szCs w:val="23"/>
        </w:rPr>
        <w:t xml:space="preserve"> </w:t>
      </w:r>
      <w:r w:rsidRPr="00F13EB0">
        <w:rPr>
          <w:rFonts w:cs="Times"/>
          <w:color w:val="010000"/>
          <w:sz w:val="22"/>
          <w:szCs w:val="23"/>
        </w:rPr>
        <w:t>England to grant religious freedom</w:t>
      </w:r>
      <w:r w:rsidRPr="00F13EB0">
        <w:rPr>
          <w:rFonts w:cs="Times"/>
          <w:sz w:val="22"/>
          <w:szCs w:val="23"/>
        </w:rPr>
        <w:t xml:space="preserve">. </w:t>
      </w:r>
      <w:r w:rsidRPr="00F13EB0">
        <w:rPr>
          <w:rFonts w:cs="Times"/>
          <w:color w:val="010000"/>
          <w:sz w:val="22"/>
          <w:szCs w:val="23"/>
        </w:rPr>
        <w:t>Williams also established peace between English settlers and Indians</w:t>
      </w:r>
      <w:r w:rsidRPr="00F13EB0">
        <w:rPr>
          <w:rFonts w:cs="Times"/>
          <w:sz w:val="22"/>
          <w:szCs w:val="23"/>
        </w:rPr>
        <w:t xml:space="preserve">. </w:t>
      </w:r>
      <w:r w:rsidRPr="00F13EB0">
        <w:rPr>
          <w:rFonts w:cs="Times"/>
          <w:color w:val="010000"/>
          <w:sz w:val="22"/>
          <w:szCs w:val="23"/>
        </w:rPr>
        <w:t>He even learned the language of the Indians and protected them from having their land taken away</w:t>
      </w:r>
      <w:r w:rsidRPr="00F13EB0">
        <w:rPr>
          <w:rFonts w:cs="Times"/>
          <w:sz w:val="22"/>
          <w:szCs w:val="23"/>
        </w:rPr>
        <w:t xml:space="preserve">. </w:t>
      </w:r>
      <w:r w:rsidRPr="00F13EB0">
        <w:rPr>
          <w:rFonts w:cs="Times"/>
          <w:color w:val="010000"/>
          <w:sz w:val="22"/>
          <w:szCs w:val="23"/>
        </w:rPr>
        <w:t>William</w:t>
      </w:r>
      <w:r w:rsidR="00235030">
        <w:rPr>
          <w:rFonts w:cs="Times"/>
          <w:color w:val="010000"/>
          <w:sz w:val="22"/>
          <w:szCs w:val="23"/>
        </w:rPr>
        <w:t>s</w:t>
      </w:r>
      <w:r w:rsidRPr="00F13EB0">
        <w:rPr>
          <w:rFonts w:cs="Times"/>
          <w:color w:val="010000"/>
          <w:sz w:val="22"/>
          <w:szCs w:val="23"/>
        </w:rPr>
        <w:t xml:space="preserve"> believed that Rhode Island should protect an individual's religious freedom as long as civil laws were obeyed. In the 1670s, however, Williams found himself at odds with Rhode Island Quakers. He was disturbed by the Quaker assertion that they possessed the only means of salvation.”</w:t>
      </w:r>
    </w:p>
    <w:p w14:paraId="1467DC24" w14:textId="77777777" w:rsidR="004A38B0" w:rsidRDefault="004A38B0" w:rsidP="004A38B0">
      <w:pPr>
        <w:spacing w:after="0"/>
        <w:rPr>
          <w:rFonts w:cs="Times"/>
          <w:color w:val="010000"/>
          <w:sz w:val="22"/>
          <w:szCs w:val="23"/>
        </w:rPr>
      </w:pPr>
      <w:r>
        <w:rPr>
          <w:rFonts w:cs="Times"/>
          <w:color w:val="010000"/>
          <w:sz w:val="22"/>
          <w:szCs w:val="23"/>
        </w:rPr>
        <w:t xml:space="preserve">~James L. Smith, </w:t>
      </w:r>
      <w:r>
        <w:rPr>
          <w:rFonts w:cs="Times"/>
          <w:i/>
          <w:color w:val="010000"/>
          <w:sz w:val="22"/>
          <w:szCs w:val="23"/>
        </w:rPr>
        <w:t xml:space="preserve">Ideas that Shape a Nation, </w:t>
      </w:r>
      <w:r>
        <w:rPr>
          <w:rFonts w:cs="Times"/>
          <w:color w:val="010000"/>
          <w:sz w:val="22"/>
          <w:szCs w:val="23"/>
        </w:rPr>
        <w:t>11</w:t>
      </w:r>
    </w:p>
    <w:p w14:paraId="6F75193B" w14:textId="77777777" w:rsidR="004A38B0" w:rsidRDefault="004A38B0" w:rsidP="004A38B0">
      <w:pPr>
        <w:spacing w:after="0"/>
        <w:rPr>
          <w:rFonts w:cs="Times"/>
          <w:color w:val="010000"/>
          <w:sz w:val="22"/>
          <w:szCs w:val="23"/>
        </w:rPr>
      </w:pPr>
    </w:p>
    <w:p w14:paraId="7A55E990" w14:textId="77777777" w:rsidR="004A38B0" w:rsidRDefault="004A38B0" w:rsidP="004A38B0">
      <w:pPr>
        <w:spacing w:after="0"/>
        <w:rPr>
          <w:rFonts w:cs="Times"/>
          <w:color w:val="010000"/>
          <w:sz w:val="22"/>
          <w:szCs w:val="23"/>
        </w:rPr>
      </w:pPr>
      <w:r>
        <w:rPr>
          <w:rFonts w:cs="Times"/>
          <w:color w:val="010000"/>
          <w:sz w:val="22"/>
          <w:szCs w:val="23"/>
        </w:rPr>
        <w:t xml:space="preserve">“Whosoever therefore out of a state of nature unite into a </w:t>
      </w:r>
      <w:r>
        <w:rPr>
          <w:rFonts w:cs="Times"/>
          <w:i/>
          <w:color w:val="010000"/>
          <w:sz w:val="22"/>
          <w:szCs w:val="23"/>
        </w:rPr>
        <w:t>community</w:t>
      </w:r>
      <w:r>
        <w:rPr>
          <w:rFonts w:cs="Times"/>
          <w:color w:val="010000"/>
          <w:sz w:val="22"/>
          <w:szCs w:val="23"/>
        </w:rPr>
        <w:t xml:space="preserve">, must be understood to give up all the power, necessary to the ends for which they unite into society, to the </w:t>
      </w:r>
      <w:r>
        <w:rPr>
          <w:rFonts w:cs="Times"/>
          <w:i/>
          <w:color w:val="010000"/>
          <w:sz w:val="22"/>
          <w:szCs w:val="23"/>
        </w:rPr>
        <w:t>majority</w:t>
      </w:r>
      <w:r>
        <w:rPr>
          <w:rFonts w:cs="Times"/>
          <w:color w:val="010000"/>
          <w:sz w:val="22"/>
          <w:szCs w:val="23"/>
        </w:rPr>
        <w:t xml:space="preserve"> of the community, unless they expressly agreed in any number greater than the majority.  And this is done by barely agreeing to </w:t>
      </w:r>
      <w:r>
        <w:rPr>
          <w:rFonts w:cs="Times"/>
          <w:i/>
          <w:color w:val="010000"/>
          <w:sz w:val="22"/>
          <w:szCs w:val="23"/>
        </w:rPr>
        <w:t xml:space="preserve">unite into one political society, </w:t>
      </w:r>
      <w:r>
        <w:rPr>
          <w:rFonts w:cs="Times"/>
          <w:color w:val="010000"/>
          <w:sz w:val="22"/>
          <w:szCs w:val="23"/>
        </w:rPr>
        <w:t xml:space="preserve">which is </w:t>
      </w:r>
      <w:r>
        <w:rPr>
          <w:rFonts w:cs="Times"/>
          <w:i/>
          <w:color w:val="010000"/>
          <w:sz w:val="22"/>
          <w:szCs w:val="23"/>
        </w:rPr>
        <w:t xml:space="preserve">all the compact </w:t>
      </w:r>
      <w:r>
        <w:rPr>
          <w:rFonts w:cs="Times"/>
          <w:color w:val="010000"/>
          <w:sz w:val="22"/>
          <w:szCs w:val="23"/>
        </w:rPr>
        <w:t xml:space="preserve">that is, or needs be, between the individuals, that enter into, or make up a </w:t>
      </w:r>
      <w:r>
        <w:rPr>
          <w:rFonts w:cs="Times"/>
          <w:i/>
          <w:color w:val="010000"/>
          <w:sz w:val="22"/>
          <w:szCs w:val="23"/>
        </w:rPr>
        <w:t>commonwealth</w:t>
      </w:r>
      <w:r>
        <w:rPr>
          <w:rFonts w:cs="Times"/>
          <w:color w:val="010000"/>
          <w:sz w:val="22"/>
          <w:szCs w:val="23"/>
        </w:rPr>
        <w:t xml:space="preserve">. And thus that, which begins and actually </w:t>
      </w:r>
      <w:r>
        <w:rPr>
          <w:rFonts w:cs="Times"/>
          <w:i/>
          <w:color w:val="010000"/>
          <w:sz w:val="22"/>
          <w:szCs w:val="23"/>
        </w:rPr>
        <w:t>constitutes any political society</w:t>
      </w:r>
      <w:r>
        <w:rPr>
          <w:rFonts w:cs="Times"/>
          <w:color w:val="010000"/>
          <w:sz w:val="22"/>
          <w:szCs w:val="23"/>
        </w:rPr>
        <w:t xml:space="preserve">, is nothing  but the consent of any number of freemen capable of a majority to unite and incorporate into such a society.  And this is that, and that only, which did, or could give beginning to any </w:t>
      </w:r>
      <w:r>
        <w:rPr>
          <w:rFonts w:cs="Times"/>
          <w:i/>
          <w:color w:val="010000"/>
          <w:sz w:val="22"/>
          <w:szCs w:val="23"/>
        </w:rPr>
        <w:t>lawful government</w:t>
      </w:r>
      <w:r>
        <w:rPr>
          <w:rFonts w:cs="Times"/>
          <w:color w:val="010000"/>
          <w:sz w:val="22"/>
          <w:szCs w:val="23"/>
        </w:rPr>
        <w:t xml:space="preserve"> in the world.”</w:t>
      </w:r>
    </w:p>
    <w:p w14:paraId="4CEE2057" w14:textId="77777777" w:rsidR="004A38B0" w:rsidRPr="0021154E" w:rsidRDefault="004A38B0" w:rsidP="004A38B0">
      <w:pPr>
        <w:spacing w:after="0"/>
        <w:rPr>
          <w:sz w:val="22"/>
        </w:rPr>
      </w:pPr>
      <w:r>
        <w:rPr>
          <w:rFonts w:cs="Times"/>
          <w:color w:val="010000"/>
          <w:sz w:val="22"/>
          <w:szCs w:val="23"/>
        </w:rPr>
        <w:t xml:space="preserve">~John Locke, </w:t>
      </w:r>
      <w:r>
        <w:rPr>
          <w:rFonts w:cs="Times"/>
          <w:i/>
          <w:color w:val="010000"/>
          <w:sz w:val="22"/>
          <w:szCs w:val="23"/>
        </w:rPr>
        <w:t>Second Treatise of Government</w:t>
      </w:r>
      <w:r>
        <w:rPr>
          <w:rFonts w:cs="Times"/>
          <w:color w:val="010000"/>
          <w:sz w:val="22"/>
          <w:szCs w:val="23"/>
        </w:rPr>
        <w:t xml:space="preserve">, 1690, </w:t>
      </w:r>
      <w:r>
        <w:rPr>
          <w:sz w:val="22"/>
        </w:rPr>
        <w:t xml:space="preserve">Chapt. VIII, Sec. 99. </w:t>
      </w:r>
    </w:p>
    <w:p w14:paraId="665B7A27" w14:textId="77777777" w:rsidR="004A38B0" w:rsidRDefault="004A38B0" w:rsidP="004A38B0">
      <w:pPr>
        <w:spacing w:after="0"/>
        <w:rPr>
          <w:sz w:val="22"/>
        </w:rPr>
      </w:pPr>
    </w:p>
    <w:p w14:paraId="5E6A0E1F" w14:textId="77777777" w:rsidR="004A38B0" w:rsidRDefault="004A38B0" w:rsidP="004A38B0">
      <w:pPr>
        <w:spacing w:after="0"/>
        <w:rPr>
          <w:sz w:val="22"/>
        </w:rPr>
      </w:pPr>
      <w:r>
        <w:rPr>
          <w:sz w:val="22"/>
        </w:rPr>
        <w:t>“This Unhappy State of her Maj’t’s Subjects [Queen Anne] in my Neighbourhood [Virgin</w:t>
      </w:r>
      <w:r w:rsidR="00235030">
        <w:rPr>
          <w:sz w:val="22"/>
        </w:rPr>
        <w:t>i</w:t>
      </w:r>
      <w:r>
        <w:rPr>
          <w:sz w:val="22"/>
        </w:rPr>
        <w:t xml:space="preserve">a] is ye more Affecting to me because I have very little hopes of being enabled to relieve them by our Assembly, which I have called to meet next Week; for the Mob of this Country, having tried their Strength in the late Election and finding themselves able to carry whom they please, have generally chosen representatives of their own Class, who as their </w:t>
      </w:r>
      <w:r w:rsidR="00235030">
        <w:rPr>
          <w:sz w:val="22"/>
        </w:rPr>
        <w:t>principal</w:t>
      </w:r>
      <w:r>
        <w:rPr>
          <w:sz w:val="22"/>
        </w:rPr>
        <w:t xml:space="preserve"> Recommendation have declared their resolution to </w:t>
      </w:r>
      <w:r w:rsidR="00235030">
        <w:rPr>
          <w:sz w:val="22"/>
        </w:rPr>
        <w:t>raise</w:t>
      </w:r>
      <w:r>
        <w:rPr>
          <w:sz w:val="22"/>
        </w:rPr>
        <w:t xml:space="preserve"> no Tax on the people, let the occasion be what it will.  This is owing to a defect in the Constitution, which allows to every one, tho’ but just out of the Condition of a Servant, and that can be purchase half an acre of Land, an equal Vote with the Man of the best Estate in the Country.”</w:t>
      </w:r>
    </w:p>
    <w:p w14:paraId="25ACA0F1" w14:textId="77777777" w:rsidR="004A38B0" w:rsidRDefault="004A38B0" w:rsidP="004A38B0">
      <w:pPr>
        <w:spacing w:after="0"/>
        <w:rPr>
          <w:sz w:val="22"/>
        </w:rPr>
      </w:pPr>
      <w:r>
        <w:rPr>
          <w:sz w:val="22"/>
        </w:rPr>
        <w:t>~Alexander Spotwood, “Confronting the House of Burgesses,” October 15, 1712.</w:t>
      </w:r>
    </w:p>
    <w:p w14:paraId="6AA703AE" w14:textId="77777777" w:rsidR="004A38B0" w:rsidRPr="00343338" w:rsidRDefault="004A38B0" w:rsidP="004A38B0">
      <w:pPr>
        <w:spacing w:after="0"/>
        <w:rPr>
          <w:sz w:val="22"/>
        </w:rPr>
      </w:pPr>
    </w:p>
    <w:p w14:paraId="24452B04" w14:textId="77777777" w:rsidR="004A38B0" w:rsidRDefault="004A38B0" w:rsidP="004A38B0">
      <w:pPr>
        <w:spacing w:after="0"/>
        <w:rPr>
          <w:b/>
          <w:sz w:val="22"/>
        </w:rPr>
      </w:pPr>
      <w:r>
        <w:rPr>
          <w:b/>
          <w:sz w:val="22"/>
        </w:rPr>
        <w:br w:type="page"/>
        <w:t>Sample Bibliography (Chicago Style):</w:t>
      </w:r>
    </w:p>
    <w:p w14:paraId="0C8FF526" w14:textId="77777777" w:rsidR="004A38B0" w:rsidRDefault="004A38B0" w:rsidP="004A38B0">
      <w:pPr>
        <w:spacing w:after="0"/>
        <w:rPr>
          <w:b/>
          <w:sz w:val="22"/>
        </w:rPr>
      </w:pPr>
    </w:p>
    <w:p w14:paraId="09BC6B3B" w14:textId="77777777" w:rsidR="004A38B0" w:rsidRDefault="004A38B0" w:rsidP="004A38B0">
      <w:pPr>
        <w:spacing w:after="0"/>
        <w:ind w:left="720" w:hanging="720"/>
        <w:rPr>
          <w:sz w:val="22"/>
        </w:rPr>
      </w:pPr>
      <w:r>
        <w:rPr>
          <w:sz w:val="22"/>
        </w:rPr>
        <w:t xml:space="preserve">Leach, Roberta J. and Augustine Caliguire.  </w:t>
      </w:r>
      <w:r>
        <w:rPr>
          <w:i/>
          <w:sz w:val="22"/>
        </w:rPr>
        <w:t>Advanced Placement U.S. History 1: The Evolving American Nation-State, 1607-1914.</w:t>
      </w:r>
      <w:r>
        <w:rPr>
          <w:sz w:val="22"/>
        </w:rPr>
        <w:t xml:space="preserve">  Villa Maria, PA:  The Center for Learning, 2008. 11-13.</w:t>
      </w:r>
    </w:p>
    <w:p w14:paraId="1C6A614C" w14:textId="77777777" w:rsidR="004A38B0" w:rsidRPr="00CA038F" w:rsidRDefault="004A38B0" w:rsidP="004A38B0">
      <w:pPr>
        <w:spacing w:after="0"/>
        <w:ind w:left="720" w:hanging="720"/>
        <w:rPr>
          <w:sz w:val="22"/>
        </w:rPr>
      </w:pPr>
    </w:p>
    <w:p w14:paraId="38235031" w14:textId="77777777" w:rsidR="004A38B0" w:rsidRPr="0021154E" w:rsidRDefault="004A38B0" w:rsidP="004A38B0">
      <w:pPr>
        <w:spacing w:after="0"/>
        <w:ind w:left="720" w:hanging="720"/>
        <w:rPr>
          <w:sz w:val="22"/>
        </w:rPr>
      </w:pPr>
      <w:r>
        <w:rPr>
          <w:sz w:val="22"/>
        </w:rPr>
        <w:t xml:space="preserve">Locke, John.  </w:t>
      </w:r>
      <w:r>
        <w:rPr>
          <w:i/>
          <w:sz w:val="22"/>
        </w:rPr>
        <w:t>Second Treatise of Government</w:t>
      </w:r>
      <w:r>
        <w:rPr>
          <w:sz w:val="22"/>
        </w:rPr>
        <w:t xml:space="preserve">, 1690.  </w:t>
      </w:r>
      <w:r>
        <w:rPr>
          <w:i/>
          <w:sz w:val="22"/>
        </w:rPr>
        <w:t>Liberty Online.</w:t>
      </w:r>
      <w:r>
        <w:rPr>
          <w:sz w:val="22"/>
        </w:rPr>
        <w:t xml:space="preserve"> “The Works of John Locke,” 1999 </w:t>
      </w:r>
      <w:hyperlink r:id="rId5" w:history="1">
        <w:r w:rsidRPr="00E85008">
          <w:rPr>
            <w:rStyle w:val="Hyperlink"/>
            <w:sz w:val="22"/>
          </w:rPr>
          <w:t>http://libertyonline.hypermall.com/Locke/second/second-frame.html</w:t>
        </w:r>
      </w:hyperlink>
      <w:r>
        <w:rPr>
          <w:sz w:val="22"/>
        </w:rPr>
        <w:t xml:space="preserve"> (accessed Sept. 11, 2010).</w:t>
      </w:r>
    </w:p>
    <w:p w14:paraId="3DC82864" w14:textId="77777777" w:rsidR="004A38B0" w:rsidRDefault="004A38B0" w:rsidP="004A38B0">
      <w:pPr>
        <w:spacing w:after="0"/>
        <w:ind w:left="720" w:hanging="720"/>
        <w:rPr>
          <w:sz w:val="22"/>
        </w:rPr>
      </w:pPr>
    </w:p>
    <w:p w14:paraId="42C24DD5" w14:textId="77777777" w:rsidR="004A38B0" w:rsidRPr="002178D7" w:rsidRDefault="004A38B0" w:rsidP="004A38B0">
      <w:pPr>
        <w:spacing w:after="0"/>
        <w:ind w:left="720" w:hanging="720"/>
        <w:rPr>
          <w:sz w:val="22"/>
        </w:rPr>
      </w:pPr>
      <w:r>
        <w:rPr>
          <w:sz w:val="22"/>
        </w:rPr>
        <w:t xml:space="preserve">Smith, James S.  </w:t>
      </w:r>
      <w:r>
        <w:rPr>
          <w:i/>
          <w:sz w:val="22"/>
        </w:rPr>
        <w:t>Ideas that Shape a Nation: Lessons on Ideas Important to the Study of United States History.</w:t>
      </w:r>
      <w:r>
        <w:rPr>
          <w:sz w:val="22"/>
        </w:rPr>
        <w:t xml:space="preserve">  Old Greenwich, CT: Devin-Adair Publishers, 1998.  11-18.</w:t>
      </w:r>
    </w:p>
    <w:p w14:paraId="3330C57D" w14:textId="77777777" w:rsidR="004A38B0" w:rsidRDefault="004A38B0" w:rsidP="004A38B0">
      <w:pPr>
        <w:spacing w:after="0"/>
        <w:ind w:left="720" w:hanging="720"/>
        <w:rPr>
          <w:sz w:val="22"/>
        </w:rPr>
      </w:pPr>
    </w:p>
    <w:p w14:paraId="71150F78" w14:textId="77777777" w:rsidR="004A38B0" w:rsidRDefault="004A38B0" w:rsidP="004A38B0">
      <w:pPr>
        <w:spacing w:after="0"/>
        <w:ind w:left="720" w:hanging="720"/>
        <w:rPr>
          <w:sz w:val="22"/>
        </w:rPr>
      </w:pPr>
      <w:r>
        <w:rPr>
          <w:sz w:val="22"/>
        </w:rPr>
        <w:t xml:space="preserve">Smith, John. “A True Relation of Virginia,” 1608.  In Yazawa, Melvin, ed.  </w:t>
      </w:r>
      <w:r>
        <w:rPr>
          <w:i/>
          <w:sz w:val="22"/>
        </w:rPr>
        <w:t>Documents to Accompany America’s History: Volume 1: To 1877.</w:t>
      </w:r>
      <w:r>
        <w:rPr>
          <w:sz w:val="22"/>
        </w:rPr>
        <w:t xml:space="preserve"> 6</w:t>
      </w:r>
      <w:r w:rsidRPr="00264578">
        <w:rPr>
          <w:sz w:val="22"/>
          <w:vertAlign w:val="superscript"/>
        </w:rPr>
        <w:t>th</w:t>
      </w:r>
      <w:r>
        <w:rPr>
          <w:sz w:val="22"/>
        </w:rPr>
        <w:t xml:space="preserve"> Ed.  Boston: Bedford/St. Martin’s, 2008, 26-28.</w:t>
      </w:r>
    </w:p>
    <w:p w14:paraId="4FFF5E3C" w14:textId="77777777" w:rsidR="004A38B0" w:rsidRDefault="004A38B0" w:rsidP="004A38B0">
      <w:pPr>
        <w:spacing w:after="0"/>
        <w:rPr>
          <w:sz w:val="22"/>
        </w:rPr>
      </w:pPr>
    </w:p>
    <w:p w14:paraId="12CF1684" w14:textId="77777777" w:rsidR="004A38B0" w:rsidRPr="00B64572" w:rsidRDefault="004A38B0" w:rsidP="004A38B0">
      <w:pPr>
        <w:spacing w:after="0"/>
        <w:ind w:left="720" w:hanging="720"/>
        <w:rPr>
          <w:sz w:val="22"/>
        </w:rPr>
      </w:pPr>
      <w:r>
        <w:rPr>
          <w:sz w:val="22"/>
        </w:rPr>
        <w:t xml:space="preserve">Spotswood, Alexander. “Confronting the House of Burgesses,” 1712.  In Henretta, James A., David Brody, and Lynn Dumenil.  </w:t>
      </w:r>
      <w:r>
        <w:rPr>
          <w:i/>
          <w:sz w:val="22"/>
        </w:rPr>
        <w:t>America’s History</w:t>
      </w:r>
      <w:r>
        <w:rPr>
          <w:sz w:val="22"/>
        </w:rPr>
        <w:t>. 6</w:t>
      </w:r>
      <w:r w:rsidRPr="00B64572">
        <w:rPr>
          <w:sz w:val="22"/>
          <w:vertAlign w:val="superscript"/>
        </w:rPr>
        <w:t>th</w:t>
      </w:r>
      <w:r>
        <w:rPr>
          <w:sz w:val="22"/>
        </w:rPr>
        <w:t xml:space="preserve"> Ed.  Boston: Bedford/St. Martin’s, 2008. 98-99.</w:t>
      </w:r>
    </w:p>
    <w:p w14:paraId="2D9F7CF4" w14:textId="77777777" w:rsidR="004A38B0" w:rsidRDefault="004A38B0" w:rsidP="004A38B0">
      <w:pPr>
        <w:spacing w:after="0"/>
        <w:rPr>
          <w:sz w:val="22"/>
        </w:rPr>
      </w:pPr>
    </w:p>
    <w:p w14:paraId="5A895C8E" w14:textId="77777777" w:rsidR="004A38B0" w:rsidRDefault="004A38B0" w:rsidP="004A38B0">
      <w:pPr>
        <w:spacing w:after="0"/>
        <w:rPr>
          <w:sz w:val="22"/>
        </w:rPr>
      </w:pPr>
    </w:p>
    <w:p w14:paraId="62B08B1A" w14:textId="77777777" w:rsidR="004A38B0" w:rsidRDefault="004A38B0" w:rsidP="004A38B0">
      <w:pPr>
        <w:spacing w:after="0"/>
        <w:rPr>
          <w:sz w:val="22"/>
        </w:rPr>
      </w:pPr>
    </w:p>
    <w:p w14:paraId="29D54448" w14:textId="77777777" w:rsidR="004A38B0" w:rsidRDefault="004A38B0" w:rsidP="004A38B0">
      <w:pPr>
        <w:spacing w:after="0"/>
        <w:rPr>
          <w:sz w:val="22"/>
        </w:rPr>
      </w:pPr>
    </w:p>
    <w:p w14:paraId="75A93DD8" w14:textId="77777777" w:rsidR="004A38B0" w:rsidRDefault="004A38B0" w:rsidP="004A38B0">
      <w:pPr>
        <w:spacing w:after="0"/>
        <w:rPr>
          <w:sz w:val="22"/>
        </w:rPr>
      </w:pPr>
    </w:p>
    <w:p w14:paraId="78B67071" w14:textId="77777777" w:rsidR="004A38B0" w:rsidRDefault="004A38B0" w:rsidP="004A38B0">
      <w:pPr>
        <w:spacing w:after="0"/>
        <w:rPr>
          <w:sz w:val="22"/>
        </w:rPr>
      </w:pPr>
      <w:r>
        <w:rPr>
          <w:b/>
          <w:sz w:val="22"/>
        </w:rPr>
        <w:t>Format Rules for B</w:t>
      </w:r>
      <w:r w:rsidRPr="00146C88">
        <w:rPr>
          <w:b/>
          <w:sz w:val="22"/>
        </w:rPr>
        <w:t>ibliographies</w:t>
      </w:r>
      <w:r>
        <w:rPr>
          <w:sz w:val="22"/>
        </w:rPr>
        <w:t xml:space="preserve">:  </w:t>
      </w:r>
    </w:p>
    <w:p w14:paraId="0A048B53" w14:textId="77777777" w:rsidR="004A38B0" w:rsidRDefault="004A38B0" w:rsidP="004A38B0">
      <w:pPr>
        <w:numPr>
          <w:ilvl w:val="0"/>
          <w:numId w:val="3"/>
        </w:numPr>
        <w:spacing w:after="0"/>
        <w:rPr>
          <w:sz w:val="22"/>
        </w:rPr>
      </w:pPr>
      <w:r>
        <w:rPr>
          <w:sz w:val="22"/>
        </w:rPr>
        <w:t xml:space="preserve">Bibliographies are not numbered and are listed in alphabetical order according to author’s last name, if known, or first word of title (ignoring the articles </w:t>
      </w:r>
      <w:r>
        <w:rPr>
          <w:i/>
          <w:sz w:val="22"/>
        </w:rPr>
        <w:t>a, an,</w:t>
      </w:r>
      <w:r>
        <w:rPr>
          <w:sz w:val="22"/>
        </w:rPr>
        <w:t xml:space="preserve"> and</w:t>
      </w:r>
      <w:r>
        <w:rPr>
          <w:i/>
          <w:sz w:val="22"/>
        </w:rPr>
        <w:t xml:space="preserve"> the</w:t>
      </w:r>
      <w:r>
        <w:rPr>
          <w:sz w:val="22"/>
        </w:rPr>
        <w:t>) if author is unknown.</w:t>
      </w:r>
    </w:p>
    <w:p w14:paraId="6B61B4C2" w14:textId="77777777" w:rsidR="004A38B0" w:rsidRDefault="004A38B0" w:rsidP="004A38B0">
      <w:pPr>
        <w:numPr>
          <w:ilvl w:val="0"/>
          <w:numId w:val="3"/>
        </w:numPr>
        <w:spacing w:after="0"/>
        <w:rPr>
          <w:sz w:val="22"/>
        </w:rPr>
      </w:pPr>
      <w:r>
        <w:rPr>
          <w:sz w:val="22"/>
        </w:rPr>
        <w:t xml:space="preserve">Use hanging indent style.  In Microsoft Word, go to </w:t>
      </w:r>
      <w:r w:rsidRPr="00FA5AC5">
        <w:rPr>
          <w:b/>
          <w:i/>
          <w:sz w:val="22"/>
        </w:rPr>
        <w:t>Format</w:t>
      </w:r>
      <w:r>
        <w:rPr>
          <w:sz w:val="22"/>
        </w:rPr>
        <w:t xml:space="preserve"> in your toolbar, then select Paragraph.  In the center of the small window that appears (above where you go to change line spacing from single to double) is the option </w:t>
      </w:r>
      <w:r w:rsidRPr="00FA5AC5">
        <w:rPr>
          <w:b/>
          <w:i/>
          <w:sz w:val="22"/>
        </w:rPr>
        <w:t>Special.</w:t>
      </w:r>
      <w:r>
        <w:rPr>
          <w:sz w:val="22"/>
        </w:rPr>
        <w:t xml:space="preserve">  Click on the little arrow and select </w:t>
      </w:r>
      <w:r w:rsidRPr="00FA5AC5">
        <w:rPr>
          <w:b/>
          <w:i/>
          <w:sz w:val="22"/>
        </w:rPr>
        <w:t>Hanging</w:t>
      </w:r>
      <w:r>
        <w:rPr>
          <w:sz w:val="22"/>
        </w:rPr>
        <w:t xml:space="preserve">.   Then complete with the </w:t>
      </w:r>
      <w:r w:rsidRPr="00FA5AC5">
        <w:rPr>
          <w:b/>
          <w:i/>
          <w:sz w:val="22"/>
        </w:rPr>
        <w:t>Okay</w:t>
      </w:r>
      <w:r>
        <w:rPr>
          <w:sz w:val="22"/>
        </w:rPr>
        <w:t xml:space="preserve"> button.  If you have already typed your bibliography, simply highlight all your entries before going to the Format option.</w:t>
      </w:r>
    </w:p>
    <w:p w14:paraId="1E606CDE" w14:textId="77777777" w:rsidR="004A38B0" w:rsidRDefault="004A38B0" w:rsidP="004A38B0">
      <w:pPr>
        <w:numPr>
          <w:ilvl w:val="0"/>
          <w:numId w:val="3"/>
        </w:numPr>
        <w:spacing w:after="0"/>
        <w:rPr>
          <w:sz w:val="22"/>
        </w:rPr>
      </w:pPr>
      <w:r>
        <w:rPr>
          <w:sz w:val="22"/>
        </w:rPr>
        <w:t xml:space="preserve">Capitalize all significant words (except articles </w:t>
      </w:r>
      <w:r>
        <w:rPr>
          <w:i/>
          <w:sz w:val="22"/>
        </w:rPr>
        <w:t>a,</w:t>
      </w:r>
      <w:r>
        <w:rPr>
          <w:sz w:val="22"/>
        </w:rPr>
        <w:t xml:space="preserve"> </w:t>
      </w:r>
      <w:r>
        <w:rPr>
          <w:i/>
          <w:sz w:val="22"/>
        </w:rPr>
        <w:t>an, the</w:t>
      </w:r>
      <w:r>
        <w:rPr>
          <w:sz w:val="22"/>
        </w:rPr>
        <w:t xml:space="preserve"> and prepositions such as </w:t>
      </w:r>
      <w:r>
        <w:rPr>
          <w:i/>
          <w:sz w:val="22"/>
        </w:rPr>
        <w:t xml:space="preserve">in, around, for, </w:t>
      </w:r>
      <w:r>
        <w:rPr>
          <w:sz w:val="22"/>
        </w:rPr>
        <w:t>etc.) even if the original source did not.</w:t>
      </w:r>
    </w:p>
    <w:p w14:paraId="743D33D2" w14:textId="77777777" w:rsidR="004A38B0" w:rsidRDefault="004A38B0" w:rsidP="004A38B0">
      <w:pPr>
        <w:numPr>
          <w:ilvl w:val="0"/>
          <w:numId w:val="3"/>
        </w:numPr>
        <w:spacing w:after="0"/>
        <w:rPr>
          <w:sz w:val="22"/>
        </w:rPr>
      </w:pPr>
      <w:r>
        <w:rPr>
          <w:sz w:val="22"/>
        </w:rPr>
        <w:t>Italicize titles of books, magazines, journals, and all full length work.  Use quotation marks for titles of poems, songs, essay, articles or chapters within books, and most any other work found within a larger publication.</w:t>
      </w:r>
    </w:p>
    <w:p w14:paraId="6AFA01D0" w14:textId="77777777" w:rsidR="004A38B0" w:rsidRPr="00552C32" w:rsidRDefault="004A38B0" w:rsidP="004A38B0">
      <w:pPr>
        <w:spacing w:after="0"/>
        <w:rPr>
          <w:sz w:val="22"/>
        </w:rPr>
      </w:pPr>
    </w:p>
    <w:p w14:paraId="14247297" w14:textId="77777777" w:rsidR="004A38B0" w:rsidRPr="003F0F7A" w:rsidRDefault="004A38B0" w:rsidP="004A38B0">
      <w:pPr>
        <w:spacing w:after="0"/>
        <w:rPr>
          <w:sz w:val="22"/>
        </w:rPr>
      </w:pPr>
      <w:r w:rsidRPr="003F0F7A">
        <w:rPr>
          <w:sz w:val="22"/>
        </w:rPr>
        <w:t xml:space="preserve">For more on proper formatting of bibliographies for history, see </w:t>
      </w:r>
      <w:r w:rsidR="001D067E">
        <w:rPr>
          <w:sz w:val="22"/>
        </w:rPr>
        <w:t xml:space="preserve">Owl at Purdue on </w:t>
      </w:r>
      <w:r w:rsidR="002D4623">
        <w:rPr>
          <w:sz w:val="22"/>
        </w:rPr>
        <w:t xml:space="preserve">Chicago Documentation Style </w:t>
      </w:r>
    </w:p>
    <w:p w14:paraId="554CBF3B" w14:textId="77777777" w:rsidR="004A38B0" w:rsidRDefault="004A38B0" w:rsidP="004A38B0">
      <w:pPr>
        <w:spacing w:after="0"/>
        <w:rPr>
          <w:b/>
          <w:sz w:val="22"/>
        </w:rPr>
      </w:pPr>
    </w:p>
    <w:p w14:paraId="7C5112FF" w14:textId="77777777" w:rsidR="004A38B0" w:rsidRDefault="004A38B0" w:rsidP="004A38B0">
      <w:pPr>
        <w:spacing w:after="0"/>
        <w:ind w:left="720" w:hanging="720"/>
        <w:rPr>
          <w:sz w:val="22"/>
        </w:rPr>
      </w:pPr>
    </w:p>
    <w:p w14:paraId="4D52B54D" w14:textId="77777777" w:rsidR="004A38B0" w:rsidRDefault="004A38B0" w:rsidP="004A38B0">
      <w:pPr>
        <w:spacing w:after="0"/>
        <w:ind w:left="720" w:hanging="720"/>
        <w:rPr>
          <w:sz w:val="22"/>
        </w:rPr>
      </w:pPr>
    </w:p>
    <w:p w14:paraId="79021DC4" w14:textId="77777777" w:rsidR="00046370" w:rsidRDefault="00046370">
      <w:pPr>
        <w:rPr>
          <w:sz w:val="20"/>
          <w:szCs w:val="20"/>
        </w:rPr>
      </w:pPr>
      <w:r>
        <w:rPr>
          <w:sz w:val="20"/>
          <w:szCs w:val="20"/>
        </w:rPr>
        <w:br w:type="page"/>
      </w:r>
      <w:r w:rsidR="0073605D">
        <w:rPr>
          <w:noProof/>
          <w:sz w:val="20"/>
          <w:szCs w:val="20"/>
        </w:rPr>
        <w:drawing>
          <wp:inline distT="0" distB="0" distL="0" distR="0" wp14:anchorId="77062276" wp14:editId="4165009A">
            <wp:extent cx="5801360" cy="7548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1360" cy="7548880"/>
                    </a:xfrm>
                    <a:prstGeom prst="rect">
                      <a:avLst/>
                    </a:prstGeom>
                    <a:noFill/>
                    <a:ln>
                      <a:noFill/>
                    </a:ln>
                  </pic:spPr>
                </pic:pic>
              </a:graphicData>
            </a:graphic>
          </wp:inline>
        </w:drawing>
      </w:r>
    </w:p>
    <w:p w14:paraId="613CDD64" w14:textId="77777777" w:rsidR="004A38B0" w:rsidRDefault="00046370">
      <w:pPr>
        <w:rPr>
          <w:sz w:val="20"/>
          <w:szCs w:val="20"/>
        </w:rPr>
      </w:pPr>
      <w:r>
        <w:rPr>
          <w:sz w:val="20"/>
          <w:szCs w:val="20"/>
        </w:rPr>
        <w:br w:type="page"/>
      </w:r>
      <w:r w:rsidR="0073605D">
        <w:rPr>
          <w:noProof/>
          <w:sz w:val="20"/>
          <w:szCs w:val="20"/>
        </w:rPr>
        <w:drawing>
          <wp:inline distT="0" distB="0" distL="0" distR="0" wp14:anchorId="5AD4F7F9" wp14:editId="3739F81B">
            <wp:extent cx="5801360" cy="754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1360" cy="7548880"/>
                    </a:xfrm>
                    <a:prstGeom prst="rect">
                      <a:avLst/>
                    </a:prstGeom>
                    <a:noFill/>
                    <a:ln>
                      <a:noFill/>
                    </a:ln>
                  </pic:spPr>
                </pic:pic>
              </a:graphicData>
            </a:graphic>
          </wp:inline>
        </w:drawing>
      </w:r>
    </w:p>
    <w:sectPr w:rsidR="004A38B0" w:rsidSect="00856D47">
      <w:pgSz w:w="12240" w:h="15840"/>
      <w:pgMar w:top="1440" w:right="1440" w:bottom="12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7CD"/>
    <w:multiLevelType w:val="hybridMultilevel"/>
    <w:tmpl w:val="9242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C68A9"/>
    <w:multiLevelType w:val="hybridMultilevel"/>
    <w:tmpl w:val="DC6CD0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851EB8"/>
    <w:multiLevelType w:val="hybridMultilevel"/>
    <w:tmpl w:val="47A4AD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8546C5"/>
    <w:multiLevelType w:val="hybridMultilevel"/>
    <w:tmpl w:val="8384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F9"/>
    <w:rsid w:val="00046370"/>
    <w:rsid w:val="00161849"/>
    <w:rsid w:val="00177EB0"/>
    <w:rsid w:val="001D067E"/>
    <w:rsid w:val="00235030"/>
    <w:rsid w:val="002D4623"/>
    <w:rsid w:val="003122F9"/>
    <w:rsid w:val="00322837"/>
    <w:rsid w:val="00347E21"/>
    <w:rsid w:val="004A38B0"/>
    <w:rsid w:val="004F5412"/>
    <w:rsid w:val="005A2C45"/>
    <w:rsid w:val="00657DE9"/>
    <w:rsid w:val="00720E08"/>
    <w:rsid w:val="0073605D"/>
    <w:rsid w:val="008168B4"/>
    <w:rsid w:val="00856D47"/>
    <w:rsid w:val="00964327"/>
    <w:rsid w:val="00C7677B"/>
    <w:rsid w:val="00D862C1"/>
    <w:rsid w:val="00E92B56"/>
    <w:rsid w:val="00F01289"/>
    <w:rsid w:val="00F07B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E8B8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8D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9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11692A"/>
    <w:rPr>
      <w:color w:val="0000FF"/>
      <w:u w:val="single"/>
    </w:rPr>
  </w:style>
  <w:style w:type="character" w:styleId="FollowedHyperlink">
    <w:name w:val="FollowedHyperlink"/>
    <w:uiPriority w:val="99"/>
    <w:semiHidden/>
    <w:unhideWhenUsed/>
    <w:rsid w:val="002D4623"/>
    <w:rPr>
      <w:color w:val="800080"/>
      <w:u w:val="single"/>
    </w:rPr>
  </w:style>
  <w:style w:type="paragraph" w:styleId="BalloonText">
    <w:name w:val="Balloon Text"/>
    <w:basedOn w:val="Normal"/>
    <w:link w:val="BalloonTextChar"/>
    <w:uiPriority w:val="99"/>
    <w:semiHidden/>
    <w:unhideWhenUsed/>
    <w:rsid w:val="005A2C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ertyonline.hypermall.com/Locke/second/second-frame.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1630</Words>
  <Characters>9292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Lakewood Senior High School</Company>
  <LinksUpToDate>false</LinksUpToDate>
  <CharactersWithSpaces>10901</CharactersWithSpaces>
  <SharedDoc>false</SharedDoc>
  <HLinks>
    <vt:vector size="6" baseType="variant">
      <vt:variant>
        <vt:i4>1507454</vt:i4>
      </vt:variant>
      <vt:variant>
        <vt:i4>0</vt:i4>
      </vt:variant>
      <vt:variant>
        <vt:i4>0</vt:i4>
      </vt:variant>
      <vt:variant>
        <vt:i4>5</vt:i4>
      </vt:variant>
      <vt:variant>
        <vt:lpwstr>http://libertyonline.hypermall.com/Locke/second/second-frame.html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Neal</dc:creator>
  <cp:keywords/>
  <cp:lastModifiedBy>Teresa Neal</cp:lastModifiedBy>
  <cp:revision>3</cp:revision>
  <cp:lastPrinted>2014-09-12T03:38:00Z</cp:lastPrinted>
  <dcterms:created xsi:type="dcterms:W3CDTF">2015-09-10T01:38:00Z</dcterms:created>
  <dcterms:modified xsi:type="dcterms:W3CDTF">2016-09-06T01:20:00Z</dcterms:modified>
</cp:coreProperties>
</file>